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Land Productivity Dynamics Indicator: LPDynR package</w:t>
      </w:r>
    </w:p>
    <w:p>
      <w:pPr>
        <w:pStyle w:val="Author"/>
        <w:rPr/>
      </w:pPr>
      <w:r>
        <w:rPr/>
        <w:t>Xavier Rotllan-Puig</w:t>
      </w:r>
      <w:r>
        <w:rPr>
          <w:vertAlign w:val="superscript"/>
        </w:rPr>
        <w:t>1,2,✉</w:t>
      </w:r>
      <w:r>
        <w:rPr/>
        <w:t>, Eva Ivits</w:t>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04/11/2020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Geospatial Information Services group, European Environment Agency, Copenhagen, DENMARK</w:t>
      </w:r>
    </w:p>
    <w:p>
      <w:pPr>
        <w:pStyle w:val="Cosdeltext"/>
        <w:rPr/>
      </w:pPr>
      <w:r>
        <w:rPr>
          <w:vertAlign w:val="superscript"/>
        </w:rPr>
        <w:t>✉</w:t>
      </w:r>
      <w:r>
        <w:rPr/>
        <w:t xml:space="preserve"> </w:t>
      </w:r>
      <w:r>
        <w:rPr/>
        <w:t xml:space="preserve">Correspondence: </w:t>
      </w:r>
      <w:hyperlink r:id="rId2">
        <w:r>
          <w:rPr>
            <w:rStyle w:val="ListLabel26"/>
          </w:rPr>
          <w:t>Xavier Rotllan-Puig &lt;xavi.rotllan.puig@gmail.com&gt;</w:t>
        </w:r>
      </w:hyperlink>
    </w:p>
    <w:p>
      <w:pPr>
        <w:pStyle w:val="Cosdeltext"/>
        <w:rPr/>
      </w:pPr>
      <w:r>
        <w:rPr>
          <w:b/>
        </w:rPr>
        <w:t>Abstract</w:t>
      </w:r>
    </w:p>
    <w:p>
      <w:pPr>
        <w:pStyle w:val="Cosdeltext"/>
        <w:rPr/>
      </w:pPr>
      <w:r>
        <w:rPr/>
        <w:t>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rPr/>
      </w:pPr>
      <w:r>
        <w:rPr/>
        <w:t>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(2013).</w:t>
      </w:r>
    </w:p>
    <w:p>
      <w:pPr>
        <w:pStyle w:val="Cosdeltext"/>
        <w:rPr/>
      </w:pPr>
      <w:r>
        <w:rPr/>
        <w:t xml:space="preserve">The LPD is the methodological basis of the </w:t>
      </w:r>
      <w:r>
        <w:rPr>
          <w:i/>
        </w:rPr>
        <w:t>LPDynR</w:t>
      </w:r>
      <w:r>
        <w:rPr/>
        <w:t xml:space="preserve"> 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rPr/>
      </w:pPr>
      <w:r>
        <w:rPr/>
        <w:t xml:space="preserve">As an example of </w:t>
      </w:r>
      <w:r>
        <w:rPr>
          <w:i/>
        </w:rPr>
        <w:t>LPDynR</w:t>
      </w:r>
      <w:r>
        <w:rPr/>
        <w:t xml:space="preserve"> usage…</w:t>
      </w:r>
    </w:p>
    <w:p>
      <w:pPr>
        <w:pStyle w:val="Encapalament1"/>
        <w:numPr>
          <w:ilvl w:val="0"/>
          <w:numId w:val="2"/>
        </w:numPr>
        <w:rPr/>
      </w:pPr>
      <w:bookmarkStart w:id="0" w:name="introduction"/>
      <w:r>
        <w:rPr/>
        <w:t>Introduction</w:t>
      </w:r>
      <w:bookmarkEnd w:id="0"/>
    </w:p>
    <w:p>
      <w:pPr>
        <w:pStyle w:val="FirstParagraph"/>
        <w:rPr/>
      </w:pPr>
      <w:r>
        <w:rPr/>
        <w:t>The United Nations General Assembly designed in 2015 a collection of 17 global goals, so called Sustainable Development Goals (SDGs; UN 2015), with the general aim of “achieving a better and more sustainable future for all”,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 (Dubovyk 2017). The SDG-15 entitled Life on Land has among its targets the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 (UNCCD 2015).</w:t>
      </w:r>
    </w:p>
    <w:p>
      <w:pPr>
        <w:pStyle w:val="Cosdeltext"/>
        <w:rPr/>
      </w:pPr>
      <w:r>
        <w:rPr/>
        <w:t>The indicator 15.3.1 (UNCCD 2018) is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It is calculated using the Land Productivity Dynamics (LPD) approach, first developed by Ivits and Cherlet (2013), which is the methodological basis of the </w:t>
      </w:r>
      <w:r>
        <w:rPr>
          <w:i/>
        </w:rPr>
        <w:t>LPDynR</w:t>
      </w:r>
      <w:r>
        <w:rPr/>
        <w:t xml:space="preserve"> tool presented in this document.</w:t>
      </w:r>
    </w:p>
    <w:p>
      <w:pPr>
        <w:pStyle w:val="Encapalament1"/>
        <w:numPr>
          <w:ilvl w:val="0"/>
          <w:numId w:val="2"/>
        </w:numPr>
        <w:rPr/>
      </w:pPr>
      <w:bookmarkStart w:id="1" w:name="land-productivity-dynamics-and-lpdynr"/>
      <w:r>
        <w:rPr/>
        <w:t xml:space="preserve">Land Productivity Dynamics and </w:t>
      </w:r>
      <w:r>
        <w:rPr>
          <w:i/>
        </w:rPr>
        <w:t>LPDynR</w:t>
      </w:r>
      <w:bookmarkEnd w:id="1"/>
    </w:p>
    <w:p>
      <w:pPr>
        <w:pStyle w:val="FirstParagraph"/>
        <w:rPr/>
      </w:pPr>
      <w:r>
        <w:rPr/>
        <w:t>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 (Ivits and Cherlet 2013; Prince 2009; Yengoh et al. 2015, and references therein). This approach uses phenological and productivity-related variables derived from time series of NDVI, given that these can provide additional information on several aspects of vegetation/land cover functional composition in relation to ecosystem dynamics and change (Ivits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rPr/>
      </w:pPr>
      <w:r>
        <w:rPr/>
        <w:t>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3"/>
                    <a:stretch>
                      <a:fillRect/>
                    </a:stretch>
                  </pic:blipFill>
                  <pic:spPr bwMode="auto">
                    <a:xfrm>
                      <a:off x="0" y="0"/>
                      <a:ext cx="5486400" cy="4399280"/>
                    </a:xfrm>
                    <a:prstGeom prst="rect">
                      <a:avLst/>
                    </a:prstGeom>
                  </pic:spPr>
                </pic:pic>
              </a:graphicData>
            </a:graphic>
          </wp:inline>
        </w:drawing>
      </w:r>
      <w:r>
        <w:rPr/>
        <w:t xml:space="preserve">  </w:t>
      </w:r>
    </w:p>
    <w:p>
      <w:pPr>
        <w:pStyle w:val="Cosdeltext"/>
        <w:rPr/>
      </w:pPr>
      <w:r>
        <w:rPr/>
        <w:t xml:space="preserve">Following the LPD approach, </w:t>
      </w:r>
      <w:r>
        <w:rPr>
          <w:i/>
        </w:rPr>
        <w:t>LPDynR</w:t>
      </w:r>
      <w:r>
        <w:rPr/>
        <w:t xml:space="preserve"> 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last version of </w:t>
      </w:r>
      <w:r>
        <w:rPr>
          <w:i/>
        </w:rPr>
        <w:t>LPDynR</w:t>
      </w:r>
      <w:r>
        <w:rPr/>
        <w:t xml:space="preserve"> can be found at </w:t>
      </w:r>
      <w:hyperlink r:id="rId4">
        <w:r>
          <w:rPr>
            <w:rStyle w:val="ListLabel26"/>
          </w:rPr>
          <w:t>https://github.com/xavi-rp/LPDynR</w:t>
        </w:r>
      </w:hyperlink>
      <w:r>
        <w:rPr/>
        <w:t>.</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So, in this case it is used a data set of 5 phenological and productivity-related variables, at global level and 1km of spatial resolution, obtained with </w:t>
      </w:r>
      <w:r>
        <w:rPr>
          <w:i/>
        </w:rPr>
        <w:t>Phenolo</w:t>
      </w:r>
      <w:r>
        <w:rPr/>
        <w:t xml:space="preserve">, a software developed at the EC-Joint Research Centre. </w:t>
      </w:r>
      <w:r>
        <w:rPr>
          <w:i/>
        </w:rPr>
        <w:t>Phenolo</w:t>
      </w:r>
      <w:r>
        <w:rPr/>
        <w:t xml:space="preserve"> uses time series from different satellite sensors (NOAA, SPOT, etc.) and products (NDVI, fAPAR, etc.) to derive several ecosystem dynamism indicators (Ivits et al. 2013). In this case, the </w:t>
      </w:r>
      <w:r>
        <w:rPr>
          <w:i/>
        </w:rPr>
        <w:t>Phenolo</w:t>
      </w:r>
      <w:r>
        <w:rPr/>
        <w:t xml:space="preserve"> products used to calculate the LPD map are </w:t>
      </w:r>
      <w:r>
        <w:rPr>
          <w:i/>
        </w:rPr>
        <w:t>Standing Biomass</w:t>
      </w:r>
      <w:r>
        <w:rPr/>
        <w:t xml:space="preserve">, </w:t>
      </w:r>
      <w:r>
        <w:rPr>
          <w:i/>
        </w:rPr>
        <w:t>Season Integral</w:t>
      </w:r>
      <w:r>
        <w:rPr/>
        <w:t xml:space="preserve">, </w:t>
      </w:r>
      <w:r>
        <w:rPr>
          <w:i/>
        </w:rPr>
        <w:t>Season Beginning Day</w:t>
      </w:r>
      <w:r>
        <w:rPr/>
        <w:t xml:space="preserve">, </w:t>
      </w:r>
      <w:r>
        <w:rPr>
          <w:i/>
        </w:rPr>
        <w:t>Season End Day</w:t>
      </w:r>
      <w:r>
        <w:rPr/>
        <w:t xml:space="preserve"> and </w:t>
      </w:r>
      <w:r>
        <w:rPr>
          <w:i/>
        </w:rPr>
        <w:t>Season Length</w:t>
      </w:r>
      <w:r>
        <w:rPr/>
        <w:t>, and they have been derived from SPOT Vegetation NDVI of the period 1999-2012.</w:t>
      </w:r>
    </w:p>
    <w:p>
      <w:pPr>
        <w:pStyle w:val="Cosdeltext"/>
        <w:rPr/>
      </w:pPr>
      <w:r>
        <w:rPr/>
        <w:t xml:space="preserve">In the </w:t>
      </w:r>
      <w:r>
        <w:rPr>
          <w:i/>
        </w:rPr>
        <w:t>LPDynR</w:t>
      </w:r>
      <w:r>
        <w:rPr/>
        <w:t xml:space="preserve"> v.1.0.0 the main function uses multi-band “GeoTIFF” rasters to start the process, one per phenological/productivity variable. Each band of each raster contains one of the years of the time series. Therefore, the initial data set needs to be prepared accordingly.</w:t>
      </w:r>
    </w:p>
    <w:p>
      <w:pPr>
        <w:pStyle w:val="Cosdeltext"/>
        <w:rPr/>
      </w:pPr>
      <w:r>
        <w:rPr/>
        <w:t xml:space="preserve">In addition, </w:t>
      </w:r>
      <w:r>
        <w:rPr>
          <w:i/>
        </w:rPr>
        <w:t>LPDynR</w:t>
      </w:r>
      <w:r>
        <w:rPr/>
        <w:t xml:space="preserve"> comes with a small data set which can be used to run tests, as well as some examples in the form of “vignettes” attached to the package. Once the package is installed, a basic example can be seen loading the following lines of R code:</w:t>
      </w:r>
    </w:p>
    <w:p>
      <w:pPr>
        <w:pStyle w:val="SourceCode"/>
        <w:rPr/>
      </w:pPr>
      <w:r>
        <w:rPr>
          <w:rStyle w:val="CommentTok"/>
        </w:rPr>
        <w:t># To install the latest version of LPDynR</w:t>
      </w:r>
      <w:r>
        <w:rPr/>
        <w:br/>
      </w:r>
      <w:r>
        <w:rPr>
          <w:rStyle w:val="KeywordTok"/>
        </w:rPr>
        <w:t>library</w:t>
      </w:r>
      <w:r>
        <w:rPr>
          <w:rStyle w:val="NormalTok"/>
        </w:rPr>
        <w:t>(devtools)</w:t>
      </w:r>
      <w:r>
        <w:rPr/>
        <w:br/>
      </w:r>
      <w:r>
        <w:rPr>
          <w:rStyle w:val="KeywordTok"/>
        </w:rPr>
        <w:t>install_github</w:t>
      </w:r>
      <w:r>
        <w:rPr>
          <w:rStyle w:val="NormalTok"/>
        </w:rPr>
        <w:t>(</w:t>
      </w:r>
      <w:r>
        <w:rPr>
          <w:rStyle w:val="StringTok"/>
        </w:rPr>
        <w:t>"xavi-rp/LPDynR"</w:t>
      </w:r>
      <w:r>
        <w:rPr>
          <w:rStyle w:val="NormalTok"/>
        </w:rPr>
        <w:t>)</w:t>
      </w:r>
      <w:r>
        <w:rPr/>
        <w:br/>
        <w:br/>
      </w:r>
      <w:r>
        <w:rPr>
          <w:rStyle w:val="CommentTok"/>
        </w:rPr>
        <w:t># Launching the example</w:t>
      </w:r>
      <w:r>
        <w:rPr/>
        <w:br/>
      </w:r>
      <w:r>
        <w:rPr>
          <w:rStyle w:val="KeywordTok"/>
        </w:rPr>
        <w:t>library</w:t>
      </w:r>
      <w:r>
        <w:rPr>
          <w:rStyle w:val="NormalTok"/>
        </w:rPr>
        <w:t>(LPDynR)</w:t>
      </w:r>
      <w:r>
        <w:rPr/>
        <w:br/>
      </w:r>
      <w:r>
        <w:rPr>
          <w:rStyle w:val="KeywordTok"/>
        </w:rPr>
        <w:t>vignette</w:t>
      </w:r>
      <w:r>
        <w:rPr>
          <w:rStyle w:val="NormalTok"/>
        </w:rPr>
        <w:t>(</w:t>
      </w:r>
      <w:r>
        <w:rPr>
          <w:rStyle w:val="DataTypeTok"/>
        </w:rPr>
        <w:t>topic =</w:t>
      </w:r>
      <w:r>
        <w:rPr>
          <w:rStyle w:val="NormalTok"/>
        </w:rPr>
        <w:t xml:space="preserve"> </w:t>
      </w:r>
      <w:r>
        <w:rPr>
          <w:rStyle w:val="StringTok"/>
        </w:rPr>
        <w:t>"LPD_simple_example"</w:t>
      </w:r>
      <w:r>
        <w:rPr>
          <w:rStyle w:val="NormalTok"/>
        </w:rPr>
        <w:t xml:space="preserve">, </w:t>
      </w:r>
      <w:r>
        <w:rPr>
          <w:rStyle w:val="DataTypeTok"/>
        </w:rPr>
        <w:t>package =</w:t>
      </w:r>
      <w:r>
        <w:rPr>
          <w:rStyle w:val="NormalTok"/>
        </w:rPr>
        <w:t xml:space="preserve"> </w:t>
      </w:r>
      <w:r>
        <w:rPr>
          <w:rStyle w:val="StringTok"/>
        </w:rPr>
        <w:t>"LPDynR"</w:t>
      </w:r>
      <w:r>
        <w:rPr>
          <w:rStyle w:val="NormalTok"/>
        </w:rPr>
        <w:t>)</w:t>
      </w:r>
    </w:p>
    <w:p>
      <w:pPr>
        <w:pStyle w:val="FirstParagraph"/>
        <w:rPr/>
      </w:pPr>
      <w:r>
        <w:rPr/>
        <w:t> </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As seen in Figure 1 and explained above, the Land Productivity Dynamics indicator is produced based in two different main layers. The first one is the Long Term Change Map, which incorporates information both on the progression of the general process of land dynamics (positive or negative) and on the original level of productivity of the ecosystem, as well as whether it has changed its state or not in the period of study (Ivits and Cherlet 2013).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SB</w:t>
      </w:r>
      <w:r>
        <w:rPr/>
        <w:t xml:space="preserve"> or </w:t>
      </w:r>
      <w:r>
        <w:rPr>
          <w:i/>
        </w:rPr>
        <w:t>mi</w:t>
      </w:r>
      <w:r>
        <w:rPr/>
        <w:t xml:space="preserve">) produced by </w:t>
      </w:r>
      <w:r>
        <w:rPr>
          <w:i/>
        </w:rPr>
        <w:t>Phenolo</w:t>
      </w:r>
      <w:r>
        <w:rPr/>
        <w:t xml:space="preserve"> are described in the following subsections. Standing biomass, or the yearly integration of all observed above-ground biomass, can be used as a good approximation of the gross primary production (GPP) of each spatial unit (Ivits et al. 2013).</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Finally, both metrics (slope of the linear function and net change category) are combined to get four “steadiness” categories as seen in Table 1.</w:t>
      </w:r>
    </w:p>
    <w:p>
      <w:pPr>
        <w:pStyle w:val="Cosdeltext"/>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shd w:fill="auto" w:val="clear"/>
          </w:tcPr>
          <w:p>
            <w:pPr>
              <w:pStyle w:val="Compact"/>
              <w:spacing w:before="36" w:after="36"/>
              <w:jc w:val="center"/>
              <w:rPr/>
            </w:pPr>
            <w:r>
              <w:rPr/>
              <w:t>Steadiness1</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negative ecosyst. dynamics (possibility changing equil.)</w:t>
            </w:r>
          </w:p>
        </w:tc>
      </w:tr>
      <w:tr>
        <w:trPr/>
        <w:tc>
          <w:tcPr>
            <w:tcW w:w="2248" w:type="dxa"/>
            <w:tcBorders/>
            <w:shd w:fill="auto" w:val="clear"/>
          </w:tcPr>
          <w:p>
            <w:pPr>
              <w:pStyle w:val="Compact"/>
              <w:spacing w:before="36" w:after="36"/>
              <w:jc w:val="center"/>
              <w:rPr/>
            </w:pPr>
            <w:r>
              <w:rPr/>
              <w:t>Steadiness2</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negative ecosyst. dynamics (likely remain current equil.)</w:t>
            </w:r>
          </w:p>
        </w:tc>
      </w:tr>
      <w:tr>
        <w:trPr/>
        <w:tc>
          <w:tcPr>
            <w:tcW w:w="2248" w:type="dxa"/>
            <w:tcBorders/>
            <w:shd w:fill="auto" w:val="clear"/>
          </w:tcPr>
          <w:p>
            <w:pPr>
              <w:pStyle w:val="Compact"/>
              <w:spacing w:before="36" w:after="36"/>
              <w:jc w:val="center"/>
              <w:rPr/>
            </w:pPr>
            <w:r>
              <w:rPr/>
              <w:t>Steadiness3</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positive ecosyst. dynamics (likely remain current equil.)</w:t>
            </w:r>
          </w:p>
        </w:tc>
      </w:tr>
      <w:tr>
        <w:trPr/>
        <w:tc>
          <w:tcPr>
            <w:tcW w:w="2248" w:type="dxa"/>
            <w:tcBorders/>
            <w:shd w:fill="auto" w:val="clear"/>
          </w:tcPr>
          <w:p>
            <w:pPr>
              <w:pStyle w:val="Compact"/>
              <w:spacing w:before="36" w:after="36"/>
              <w:jc w:val="center"/>
              <w:rPr/>
            </w:pPr>
            <w:r>
              <w:rPr/>
              <w:t>Steadiness4</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positive ecosyst. dynamics (possibility changing equil.)</w:t>
            </w:r>
          </w:p>
        </w:tc>
      </w:tr>
    </w:tbl>
    <w:p>
      <w:pPr>
        <w:pStyle w:val="Cosdeltext"/>
        <w:rPr/>
      </w:pPr>
      <w:r>
        <w:rPr/>
        <w:t> </w:t>
      </w:r>
    </w:p>
    <w:p>
      <w:pPr>
        <w:pStyle w:val="Cosdeltext"/>
        <w:rPr/>
      </w:pPr>
      <w:r>
        <w:rPr/>
        <w:t xml:space="preserve">While Figure 2 represents a 4-class map of the Steadiness Index for the case study, the following lines of code show how to run the function </w:t>
      </w:r>
      <w:r>
        <w:rPr>
          <w:i/>
        </w:rPr>
        <w:t>steadiness</w:t>
      </w:r>
      <w:r>
        <w:rPr/>
        <w:t xml:space="preserve"> of the package to calculate the Steadiness Index.</w:t>
      </w:r>
    </w:p>
    <w:p>
      <w:pPr>
        <w:pStyle w:val="SourceCode"/>
        <w:rPr/>
      </w:pPr>
      <w:r>
        <w:rPr>
          <w:rStyle w:val="NormalTok"/>
        </w:rPr>
        <w:t>?steadiness</w:t>
      </w:r>
      <w:r>
        <w:rPr/>
        <w:br/>
      </w:r>
      <w:r>
        <w:rPr>
          <w:rStyle w:val="NormalTok"/>
        </w:rPr>
        <w:t>SteadInd &lt;-</w:t>
      </w:r>
      <w:r>
        <w:rPr>
          <w:rStyle w:val="StringTok"/>
        </w:rPr>
        <w:t xml:space="preserve"> </w:t>
      </w:r>
      <w:r>
        <w:rPr>
          <w:rStyle w:val="KeywordTok"/>
        </w:rPr>
        <w:t>steadiness</w:t>
      </w:r>
      <w:r>
        <w:rPr>
          <w:rStyle w:val="NormalTok"/>
        </w:rPr>
        <w:t>(</w:t>
      </w:r>
      <w:r>
        <w:rPr>
          <w:rStyle w:val="DataTypeTok"/>
        </w:rPr>
        <w:t>obj2process =</w:t>
      </w:r>
      <w:r>
        <w:rPr>
          <w:rStyle w:val="NormalTok"/>
        </w:rPr>
        <w:t xml:space="preserve"> sb,  </w:t>
      </w:r>
      <w:r>
        <w:rPr>
          <w:rStyle w:val="CommentTok"/>
        </w:rPr>
        <w:t xml:space="preserve"># 'sb' is the productivity variable with the time series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 xml:space="preserve">,     </w:t>
      </w:r>
      <w:r>
        <w:rPr>
          <w:rStyle w:val="CommentTok"/>
        </w:rPr>
        <w:t># for parallel processing</w:t>
      </w:r>
      <w:r>
        <w:rPr/>
        <w:br/>
      </w:r>
      <w:r>
        <w:rPr>
          <w:rStyle w:val="NormalTok"/>
        </w:rPr>
        <w:t xml:space="preserve">                       </w:t>
      </w:r>
      <w:r>
        <w:rPr>
          <w:rStyle w:val="DataTypeTok"/>
        </w:rPr>
        <w:t>filename =</w:t>
      </w:r>
      <w:r>
        <w:rPr>
          <w:rStyle w:val="NormalTok"/>
        </w:rPr>
        <w:t xml:space="preserve"> </w:t>
      </w:r>
      <w:r>
        <w:rPr>
          <w:rStyle w:val="StringTok"/>
        </w:rPr>
        <w:t>"SteadInd.tif"</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2" name="Imatge1" descr="Figure 2: Representation of the Steadiness Index for the case study based on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Standing Biomass"/>
                    <pic:cNvPicPr>
                      <a:picLocks noChangeAspect="1" noChangeArrowheads="1"/>
                    </pic:cNvPicPr>
                  </pic:nvPicPr>
                  <pic:blipFill>
                    <a:blip r:embed="rId5"/>
                    <a:stretch>
                      <a:fillRect/>
                    </a:stretch>
                  </pic:blipFill>
                  <pic:spPr bwMode="auto">
                    <a:xfrm>
                      <a:off x="0" y="0"/>
                      <a:ext cx="5486400" cy="3811905"/>
                    </a:xfrm>
                    <a:prstGeom prst="rect">
                      <a:avLst/>
                    </a:prstGeom>
                  </pic:spPr>
                </pic:pic>
              </a:graphicData>
            </a:graphic>
          </wp:inline>
        </w:drawing>
      </w:r>
    </w:p>
    <w:p>
      <w:pPr>
        <w:pStyle w:val="Normal"/>
        <w:rPr/>
      </w:pPr>
      <w:r>
        <w:rPr/>
        <w:t>Figure 2: Representation of the Steadiness Index for the case study based on Standing Biomass</w:t>
      </w:r>
    </w:p>
    <w:p>
      <w:pPr>
        <w:pStyle w:val="Encapalament2"/>
        <w:numPr>
          <w:ilvl w:val="1"/>
          <w:numId w:val="2"/>
        </w:numPr>
        <w:rPr/>
      </w:pPr>
      <w:bookmarkStart w:id="5" w:name="X0f4e97d9e59ef5c4f5fb504fb1d2e17e855aec4"/>
      <w:r>
        <w:rPr/>
        <w:t>Baseline levels of the productivity variable</w:t>
      </w:r>
      <w:bookmarkEnd w:id="5"/>
    </w:p>
    <w:p>
      <w:pPr>
        <w:pStyle w:val="FirstParagraph"/>
        <w:rPr/>
      </w:pPr>
      <w:r>
        <w:rPr/>
        <w:t>The second source of information for the derivation of the Long Term Change Map of Land Productivity is the baseline levels of the productivity variable in study, in the example case, Standing Biomass.</w:t>
      </w:r>
    </w:p>
    <w:p>
      <w:pPr>
        <w:pStyle w:val="Cosdeltext"/>
        <w:rPr/>
      </w:pPr>
      <w:r>
        <w:rPr/>
        <w:t xml:space="preserve">For the calculation of the baseline levels of land productivity at the beginning of the time series on study, </w:t>
      </w:r>
      <w:r>
        <w:rPr>
          <w:i/>
        </w:rPr>
        <w:t>LPDynR</w:t>
      </w:r>
      <w:r>
        <w:rPr/>
        <w:t xml:space="preserve"> categorizes the results into three classes: low, medium and high. To do that, the function </w:t>
      </w:r>
      <w:r>
        <w:rPr>
          <w:i/>
        </w:rPr>
        <w:t>baseline_lev</w:t>
      </w:r>
      <w:r>
        <w:rPr/>
        <w:t xml:space="preserve"> averages the first </w:t>
      </w:r>
      <w:r>
        <w:rPr>
          <w:i/>
        </w:rPr>
        <w:t>n</w:t>
      </w:r>
      <w:r>
        <w:rPr/>
        <w:t xml:space="preserve"> years of the time series in order to avoid extreme events such as abnormal droughts in wet areas, etc. This number of years can be set by passing the argument </w:t>
      </w:r>
      <w:r>
        <w:rPr>
          <w:i/>
        </w:rPr>
        <w:t>yearsBaseline</w:t>
      </w:r>
      <w:r>
        <w:rPr/>
        <w:t xml:space="preserve"> to the function. Its default is 3, given that averaging more years would move the value closer to the mean of the time series, which is not desirable.</w:t>
      </w:r>
    </w:p>
    <w:p>
      <w:pPr>
        <w:pStyle w:val="Cosdeltext"/>
        <w:rPr/>
      </w:pPr>
      <w:r>
        <w:rPr/>
        <w:t xml:space="preserve">After the average is calculated, </w:t>
      </w:r>
      <w:r>
        <w:rPr>
          <w:i/>
        </w:rPr>
        <w:t>LPDynR</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6">
        <w:r>
          <w:rPr>
            <w:rStyle w:val="ListLabel26"/>
          </w:rPr>
          <w:t>https://www.undp.org</w:t>
        </w:r>
      </w:hyperlink>
      <w:r>
        <w:rPr/>
        <w:t xml:space="preserve">). UNPD declares that 40% of the World’s land resources are drylands (Middleton et al. 2011) and, therefore, 40% of pixels at global level must be classified as “low level” of productivity. Consequently, as default, </w:t>
      </w:r>
      <w:r>
        <w:rPr>
          <w:i/>
        </w:rPr>
        <w:t>LPDynR</w:t>
      </w:r>
      <w:r>
        <w:rPr/>
        <w:t xml:space="preserve"> classifies the first four groups of pixels as “low”, whereas the five consecutive groups as “medium” and the rest 10% of pixels with the largest baseline levels, as “high”. Both the proportion of pixels classified as low level and high level of land productivity can be set by passing to </w:t>
      </w:r>
      <w:r>
        <w:rPr>
          <w:i/>
        </w:rPr>
        <w:t>baseline_lev</w:t>
      </w:r>
      <w:r>
        <w:rPr/>
        <w:t xml:space="preserve"> the arguments </w:t>
      </w:r>
      <w:r>
        <w:rPr>
          <w:i/>
        </w:rPr>
        <w:t>drylandProp</w:t>
      </w:r>
      <w:r>
        <w:rPr/>
        <w:t xml:space="preserve"> and </w:t>
      </w:r>
      <w:r>
        <w:rPr>
          <w:i/>
        </w:rPr>
        <w:t>highprodProp</w:t>
      </w:r>
      <w:r>
        <w:rPr/>
        <w:t>, respectively. The function classifies the rest of pixels ((100 - (</w:t>
      </w:r>
      <w:r>
        <w:rPr>
          <w:i/>
        </w:rPr>
        <w:t>drylandProp</w:t>
      </w:r>
      <w:r>
        <w:rPr/>
        <w:t xml:space="preserve"> + </w:t>
      </w:r>
      <w:r>
        <w:rPr>
          <w:i/>
        </w:rPr>
        <w:t>highprodProp</w:t>
      </w:r>
      <w:r>
        <w:rPr/>
        <w:t>)) as medium level. The assumption of classifying 40% of pixels as low productive is valid at global level, however, the proportion of drylands/low level of productivity should be modified for local studies. For example, at the European level, drylands cover 20% of total land (FAO 2019).</w:t>
      </w:r>
    </w:p>
    <w:p>
      <w:pPr>
        <w:pStyle w:val="Cosdeltext"/>
        <w:rPr/>
      </w:pPr>
      <w:r>
        <w:rPr/>
        <w:t xml:space="preserve">In the following lines of code, it can be observed how to run </w:t>
      </w:r>
      <w:r>
        <w:rPr>
          <w:i/>
        </w:rPr>
        <w:t>baseline_lev</w:t>
      </w:r>
      <w:r>
        <w:rPr/>
        <w:t xml:space="preserve"> to categorize the baseline levels of productivity, resulting in a 3-class map.</w:t>
      </w:r>
    </w:p>
    <w:p>
      <w:pPr>
        <w:pStyle w:val="SourceCode"/>
        <w:rPr/>
      </w:pPr>
      <w:r>
        <w:rPr>
          <w:rStyle w:val="NormalTok"/>
        </w:rPr>
        <w:t>?baseline_lev</w:t>
      </w:r>
      <w:r>
        <w:rPr/>
        <w:br/>
      </w:r>
      <w:r>
        <w:rPr>
          <w:rStyle w:val="NormalTok"/>
        </w:rPr>
        <w:t>Baseline_Level &lt;-</w:t>
      </w:r>
      <w:r>
        <w:rPr>
          <w:rStyle w:val="StringTok"/>
        </w:rPr>
        <w:t xml:space="preserve"> </w:t>
      </w:r>
      <w:r>
        <w:rPr>
          <w:rStyle w:val="KeywordTok"/>
        </w:rPr>
        <w:t>baseline_lev</w:t>
      </w:r>
      <w:r>
        <w:rPr>
          <w:rStyle w:val="NormalTok"/>
        </w:rPr>
        <w:t>(</w:t>
      </w:r>
      <w:r>
        <w:rPr>
          <w:rStyle w:val="DataTypeTok"/>
        </w:rPr>
        <w:t>obj2process =</w:t>
      </w:r>
      <w:r>
        <w:rPr>
          <w:rStyle w:val="NormalTok"/>
        </w:rPr>
        <w:t xml:space="preserve"> sb, </w:t>
      </w:r>
      <w:r>
        <w:rPr/>
        <w:br/>
      </w:r>
      <w:r>
        <w:rPr>
          <w:rStyle w:val="NormalTok"/>
        </w:rPr>
        <w:t xml:space="preserve">                               </w:t>
      </w:r>
      <w:r>
        <w:rPr>
          <w:rStyle w:val="DataTypeTok"/>
        </w:rPr>
        <w:t>yearsBaseline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drylandProp =</w:t>
      </w:r>
      <w:r>
        <w:rPr>
          <w:rStyle w:val="NormalTok"/>
        </w:rPr>
        <w:t xml:space="preserve"> </w:t>
      </w:r>
      <w:r>
        <w:rPr>
          <w:rStyle w:val="FloatTok"/>
        </w:rPr>
        <w:t>0.4</w:t>
      </w:r>
      <w:r>
        <w:rPr>
          <w:rStyle w:val="NormalTok"/>
        </w:rPr>
        <w:t xml:space="preserve">,  </w:t>
      </w:r>
      <w:r>
        <w:rPr>
          <w:rStyle w:val="CommentTok"/>
        </w:rPr>
        <w:t># 40% as dryland</w:t>
      </w:r>
      <w:r>
        <w:rPr/>
        <w:br/>
      </w:r>
      <w:r>
        <w:rPr>
          <w:rStyle w:val="NormalTok"/>
        </w:rPr>
        <w:t xml:space="preserve">                               </w:t>
      </w:r>
      <w:r>
        <w:rPr>
          <w:rStyle w:val="DataTypeTok"/>
        </w:rPr>
        <w:t>highprodProp =</w:t>
      </w:r>
      <w:r>
        <w:rPr>
          <w:rStyle w:val="NormalTok"/>
        </w:rPr>
        <w:t xml:space="preserve"> </w:t>
      </w:r>
      <w:r>
        <w:rPr>
          <w:rStyle w:val="FloatTok"/>
        </w:rPr>
        <w:t>0.1</w:t>
      </w:r>
      <w:r>
        <w:rPr>
          <w:rStyle w:val="NormalTok"/>
        </w:rPr>
        <w:t xml:space="preserve">, </w:t>
      </w:r>
      <w:r>
        <w:rPr>
          <w:rStyle w:val="CommentTok"/>
        </w:rPr>
        <w:t xml:space="preserve"># 10% highly productive land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filename =</w:t>
      </w:r>
      <w:r>
        <w:rPr>
          <w:rStyle w:val="NormalTok"/>
        </w:rPr>
        <w:t xml:space="preserve"> </w:t>
      </w:r>
      <w:r>
        <w:rPr>
          <w:rStyle w:val="StringTok"/>
        </w:rPr>
        <w:t>"Baseline_Level.tif"</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3" name="Imatge2" descr="Figure 3: Representation of the baseline levels of Standing Biomas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Standing Biomass for the case study"/>
                    <pic:cNvPicPr>
                      <a:picLocks noChangeAspect="1" noChangeArrowheads="1"/>
                    </pic:cNvPicPr>
                  </pic:nvPicPr>
                  <pic:blipFill>
                    <a:blip r:embed="rId7"/>
                    <a:stretch>
                      <a:fillRect/>
                    </a:stretch>
                  </pic:blipFill>
                  <pic:spPr bwMode="auto">
                    <a:xfrm>
                      <a:off x="0" y="0"/>
                      <a:ext cx="5486400" cy="3811905"/>
                    </a:xfrm>
                    <a:prstGeom prst="rect">
                      <a:avLst/>
                    </a:prstGeom>
                  </pic:spPr>
                </pic:pic>
              </a:graphicData>
            </a:graphic>
          </wp:inline>
        </w:drawing>
      </w:r>
    </w:p>
    <w:p>
      <w:pPr>
        <w:pStyle w:val="Normal"/>
        <w:rPr/>
      </w:pPr>
      <w:r>
        <w:rPr/>
        <w:t>Figure 3: Representation of the baseline levels of Standing Biomass for the case study</w:t>
      </w:r>
    </w:p>
    <w:p>
      <w:pPr>
        <w:pStyle w:val="Encapalament2"/>
        <w:numPr>
          <w:ilvl w:val="1"/>
          <w:numId w:val="2"/>
        </w:numPr>
        <w:rPr/>
      </w:pPr>
      <w:bookmarkStart w:id="6" w:name="Xdbf9dfd02000bcc802439cdbf63bd9a8c093300"/>
      <w:r>
        <w:rPr/>
        <w:t>State Change of the productivity variable</w:t>
      </w:r>
      <w:bookmarkEnd w:id="6"/>
    </w:p>
    <w:p>
      <w:pPr>
        <w:pStyle w:val="FirstParagraph"/>
        <w:rPr/>
      </w:pPr>
      <w:r>
        <w:rPr/>
        <w:t>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that natural resilience thresholds have been surpassed or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rPr/>
      </w:pPr>
      <w:r>
        <w:rP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 </w:t>
      </w:r>
      <w:r>
        <w:rPr>
          <w:i/>
        </w:rPr>
        <w:t>state_change</w:t>
      </w:r>
      <w:r>
        <w:rPr/>
        <w:t xml:space="preserve"> to perform the final classification:</w:t>
      </w:r>
    </w:p>
    <w:p>
      <w:pPr>
        <w:pStyle w:val="SourceCode"/>
        <w:rPr/>
      </w:pPr>
      <w:r>
        <w:rPr>
          <w:rStyle w:val="NormalTok"/>
        </w:rPr>
        <w:t>?state_change</w:t>
      </w:r>
      <w:r>
        <w:rPr/>
        <w:br/>
      </w:r>
      <w:r>
        <w:rPr>
          <w:rStyle w:val="NormalTok"/>
        </w:rPr>
        <w:t>State_Change &lt;-</w:t>
      </w:r>
      <w:r>
        <w:rPr>
          <w:rStyle w:val="StringTok"/>
        </w:rPr>
        <w:t xml:space="preserve"> </w:t>
      </w:r>
      <w:r>
        <w:rPr>
          <w:rStyle w:val="KeywordTok"/>
        </w:rPr>
        <w:t>state_change</w:t>
      </w:r>
      <w:r>
        <w:rPr>
          <w:rStyle w:val="NormalTok"/>
        </w:rPr>
        <w:t>(</w:t>
      </w:r>
      <w:r>
        <w:rPr>
          <w:rStyle w:val="DataTypeTok"/>
        </w:rPr>
        <w:t>obj2process =</w:t>
      </w:r>
      <w:r>
        <w:rPr>
          <w:rStyle w:val="NormalTok"/>
        </w:rPr>
        <w:t xml:space="preserve"> sb, </w:t>
      </w:r>
      <w:r>
        <w:rPr/>
        <w:br/>
      </w:r>
      <w:r>
        <w:rPr>
          <w:rStyle w:val="NormalTok"/>
        </w:rPr>
        <w:t xml:space="preserve">                             </w:t>
      </w:r>
      <w:r>
        <w:rPr>
          <w:rStyle w:val="DataTypeTok"/>
        </w:rPr>
        <w:t>yearsBaseline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w:t>
      </w:r>
      <w:r>
        <w:rPr/>
        <w:br/>
      </w:r>
      <w:r>
        <w:rPr>
          <w:rStyle w:val="NormalTok"/>
        </w:rPr>
        <w:t xml:space="preserve">                             </w:t>
      </w:r>
      <w:r>
        <w:rPr>
          <w:rStyle w:val="DataTypeTok"/>
        </w:rPr>
        <w:t>filename =</w:t>
      </w:r>
      <w:r>
        <w:rPr>
          <w:rStyle w:val="NormalTok"/>
        </w:rPr>
        <w:t xml:space="preserve"> </w:t>
      </w:r>
      <w:r>
        <w:rPr>
          <w:rStyle w:val="StringTok"/>
        </w:rPr>
        <w:t>"State_Change.tif"</w:t>
      </w:r>
      <w:r>
        <w:rPr>
          <w:rStyle w:val="NormalTok"/>
        </w:rPr>
        <w:t>)</w:t>
      </w:r>
    </w:p>
    <w:p>
      <w:pPr>
        <w:pStyle w:val="FirstParagraph"/>
        <w:rPr/>
      </w:pPr>
      <w:r>
        <w:rPr/>
        <w:t> </w:t>
      </w:r>
    </w:p>
    <w:p>
      <w:pPr>
        <w:pStyle w:val="Normal"/>
        <w:rPr/>
      </w:pPr>
      <w:r>
        <w:rPr/>
        <w:drawing>
          <wp:inline distT="0" distB="0" distL="114935" distR="114935">
            <wp:extent cx="5486400" cy="3918585"/>
            <wp:effectExtent l="0" t="0" r="0" b="0"/>
            <wp:docPr id="4" name="Imatge3" descr="Figure 4: Representation of the state change map of Standing Biomass (baseline levels minus final levels), after being reclassified into 3 categories (1: no change; 2: changed 1 class; 3: changed 2 or more classes) for the case study. Also the proportion of pixels/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Representation of the state change map of Standing Biomass (baseline levels minus final levels), after being reclassified into 3 categories (1: no change; 2: changed 1 class; 3: changed 2 or more classes) for the case study. Also the proportion of pixels/group"/>
                    <pic:cNvPicPr>
                      <a:picLocks noChangeAspect="1" noChangeArrowheads="1"/>
                    </pic:cNvPicPr>
                  </pic:nvPicPr>
                  <pic:blipFill>
                    <a:blip r:embed="rId8"/>
                    <a:stretch>
                      <a:fillRect/>
                    </a:stretch>
                  </pic:blipFill>
                  <pic:spPr bwMode="auto">
                    <a:xfrm>
                      <a:off x="0" y="0"/>
                      <a:ext cx="5486400" cy="3918585"/>
                    </a:xfrm>
                    <a:prstGeom prst="rect">
                      <a:avLst/>
                    </a:prstGeom>
                  </pic:spPr>
                </pic:pic>
              </a:graphicData>
            </a:graphic>
          </wp:inline>
        </w:drawing>
      </w:r>
    </w:p>
    <w:p>
      <w:pPr>
        <w:pStyle w:val="Normal"/>
        <w:rPr/>
      </w:pPr>
      <w:r>
        <w:rPr/>
        <w:t>Figure 4: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xml:space="preserve">. As seen in the previous subsections, the Long Term Change Map is developed, in turn, by the combination of the Steadiness Index, the base line levels and the state change of the productivity variable in use. The Standing Biomass derived with </w:t>
      </w:r>
      <w:r>
        <w:rPr>
          <w:i/>
        </w:rPr>
        <w:t>Phenolo</w:t>
      </w:r>
      <w:r>
        <w:rPr/>
        <w:t xml:space="preserve"> is the variable used in the case study presented in this document.</w:t>
      </w:r>
    </w:p>
    <w:p>
      <w:pPr>
        <w:pStyle w:val="Cosdeltext"/>
        <w:rPr/>
      </w:pPr>
      <w:r>
        <w:rPr/>
        <w:t xml:space="preserve">The function </w:t>
      </w:r>
      <w:r>
        <w:rPr>
          <w:i/>
        </w:rPr>
        <w:t>LongTermChange</w:t>
      </w:r>
      <w:r>
        <w:rPr/>
        <w:t xml:space="preserve"> (see an example of running it below) performs the combination of the three qualitative metrics into the Long Term Change Map, resulting in 22 new categories as shown in Table 2. The final map of the case study is presented in Figure 5.</w:t>
      </w:r>
    </w:p>
    <w:p>
      <w:pPr>
        <w:pStyle w:val="SourceCode"/>
        <w:rPr/>
      </w:pPr>
      <w:r>
        <w:rPr>
          <w:rStyle w:val="NormalTok"/>
        </w:rPr>
        <w:t>?LongTermChange</w:t>
      </w:r>
      <w:r>
        <w:rPr/>
        <w:br/>
      </w:r>
      <w:r>
        <w:rPr>
          <w:rStyle w:val="NormalTok"/>
        </w:rPr>
        <w:t>Long_Term_Change_Map &lt;-</w:t>
      </w:r>
      <w:r>
        <w:rPr>
          <w:rStyle w:val="StringTok"/>
        </w:rPr>
        <w:t xml:space="preserve"> </w:t>
      </w:r>
      <w:r>
        <w:rPr>
          <w:rStyle w:val="KeywordTok"/>
        </w:rPr>
        <w:t>LongTermChange</w:t>
      </w:r>
      <w:r>
        <w:rPr>
          <w:rStyle w:val="NormalTok"/>
        </w:rPr>
        <w:t>(</w:t>
      </w:r>
      <w:r>
        <w:rPr>
          <w:rStyle w:val="DataTypeTok"/>
        </w:rPr>
        <w:t>SteadinessIndex =</w:t>
      </w:r>
      <w:r>
        <w:rPr>
          <w:rStyle w:val="NormalTok"/>
        </w:rPr>
        <w:t xml:space="preserve"> SteadInd, </w:t>
      </w:r>
      <w:r>
        <w:rPr/>
        <w:br/>
      </w:r>
      <w:r>
        <w:rPr>
          <w:rStyle w:val="NormalTok"/>
        </w:rPr>
        <w:t xml:space="preserve">                                       </w:t>
      </w:r>
      <w:r>
        <w:rPr>
          <w:rStyle w:val="DataTypeTok"/>
        </w:rPr>
        <w:t>BaselineLevels =</w:t>
      </w:r>
      <w:r>
        <w:rPr>
          <w:rStyle w:val="NormalTok"/>
        </w:rPr>
        <w:t xml:space="preserve"> Baseline_Level,</w:t>
      </w:r>
      <w:r>
        <w:rPr/>
        <w:br/>
      </w:r>
      <w:r>
        <w:rPr>
          <w:rStyle w:val="NormalTok"/>
        </w:rPr>
        <w:t xml:space="preserve">                                       </w:t>
      </w:r>
      <w:r>
        <w:rPr>
          <w:rStyle w:val="DataTypeTok"/>
        </w:rPr>
        <w:t>StateChange =</w:t>
      </w:r>
      <w:r>
        <w:rPr>
          <w:rStyle w:val="NormalTok"/>
        </w:rPr>
        <w:t xml:space="preserve"> State_Change, </w:t>
      </w:r>
      <w:r>
        <w:rPr/>
        <w:br/>
      </w:r>
      <w:r>
        <w:rPr>
          <w:rStyle w:val="NormalTok"/>
        </w:rPr>
        <w:t xml:space="preserve">                                       </w:t>
      </w:r>
      <w:r>
        <w:rPr>
          <w:rStyle w:val="DataTypeTok"/>
        </w:rPr>
        <w:t>filename =</w:t>
      </w:r>
      <w:r>
        <w:rPr>
          <w:rStyle w:val="NormalTok"/>
        </w:rPr>
        <w:t xml:space="preserve"> </w:t>
      </w:r>
      <w:r>
        <w:rPr>
          <w:rStyle w:val="StringTok"/>
        </w:rPr>
        <w:t>"Long_Term_Change_Map.tif"</w:t>
      </w:r>
      <w:r>
        <w:rPr>
          <w:rStyle w:val="NormalTok"/>
        </w:rPr>
        <w:t>)</w:t>
      </w:r>
    </w:p>
    <w:p>
      <w:pPr>
        <w:pStyle w:val="FirstParagraph"/>
        <w:rPr/>
      </w:pPr>
      <w:r>
        <w:rPr/>
        <w:t> </w:t>
      </w:r>
    </w:p>
    <w:p>
      <w:pPr>
        <w:pStyle w:val="Cosdeltext"/>
        <w:rPr/>
      </w:pPr>
      <w:r>
        <w:rPr/>
        <w:t>Table 2: Lookup table for the Land Productivity Long Term Change Map (Steadiness Index + Base 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Stead.Ind./BaseL.</w:t>
            </w:r>
          </w:p>
        </w:tc>
        <w:tc>
          <w:tcPr>
            <w:tcW w:w="1364" w:type="dxa"/>
            <w:tcBorders/>
            <w:shd w:fill="auto" w:val="clear"/>
          </w:tcPr>
          <w:p>
            <w:pPr>
              <w:pStyle w:val="Normal"/>
              <w:widowControl/>
              <w:bidi w:val="0"/>
              <w:spacing w:lineRule="auto" w:line="480" w:before="0" w:after="240"/>
              <w:jc w:val="left"/>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w:t>
      </w:r>
    </w:p>
    <w:p>
      <w:pPr>
        <w:pStyle w:val="Normal"/>
        <w:rPr/>
      </w:pPr>
      <w:r>
        <w:rPr/>
        <w:drawing>
          <wp:inline distT="0" distB="0" distL="114935" distR="114935">
            <wp:extent cx="5486400" cy="3972560"/>
            <wp:effectExtent l="0" t="0" r="0" b="0"/>
            <wp:docPr id="5" name="Imatge4"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pic:cNvPicPr>
                      <a:picLocks noChangeAspect="1" noChangeArrowheads="1"/>
                    </pic:cNvPicPr>
                  </pic:nvPicPr>
                  <pic:blipFill>
                    <a:blip r:embed="rId9"/>
                    <a:stretch>
                      <a:fillRect/>
                    </a:stretch>
                  </pic:blipFill>
                  <pic:spPr bwMode="auto">
                    <a:xfrm>
                      <a:off x="0" y="0"/>
                      <a:ext cx="5486400" cy="3972560"/>
                    </a:xfrm>
                    <a:prstGeom prst="rect">
                      <a:avLst/>
                    </a:prstGeom>
                  </pic:spPr>
                </pic:pic>
              </a:graphicData>
            </a:graphic>
          </wp:inline>
        </w:drawing>
      </w:r>
    </w:p>
    <w:p>
      <w:pPr>
        <w:pStyle w:val="Normal"/>
        <w:rPr/>
      </w:pPr>
      <w:r>
        <w:rPr/>
        <w:t xml:space="preserve">Figure 5: Land Productivity Long Term Change Map for the case study, based on the combination of Steadiness Index, base line levels and state change of standing biomass. </w:t>
      </w:r>
      <w:r>
        <w:rPr>
          <w:b/>
        </w:rPr>
        <w:t>I know that the colour palette is not ‘colour-blind friendly’, but it’s hard to find such a palette with so many colours… any suggestion very welcome!!</w:t>
      </w:r>
    </w:p>
    <w:p>
      <w:pPr>
        <w:pStyle w:val="Cosdeltext"/>
        <w:rPr/>
      </w:pPr>
      <w:r>
        <w:rPr/>
        <w:t> </w:t>
      </w:r>
    </w:p>
    <w:p>
      <w:pPr>
        <w:pStyle w:val="Cosdeltext"/>
        <w:rPr/>
      </w:pPr>
      <w:r>
        <w:rPr/>
        <w:t xml:space="preserve">At this point, the user might want to finalise the LPD calculation avoiding the second part of the methodology proposed by Ivits et al. (2013), which is the Current Status Map of Land Productivity. In this case, the function </w:t>
      </w:r>
      <w:r>
        <w:rPr>
          <w:i/>
        </w:rPr>
        <w:t>LPD_CombAssess</w:t>
      </w:r>
      <w:r>
        <w:rPr/>
        <w:t xml:space="preserve"> (see further explanations in its subsection below) can be called to reclassify the 22-class Long Term Change Map into the final 5 classes of LPD. In the following code it can be seen an example of how to run the function to perform the reclassification.</w:t>
      </w:r>
    </w:p>
    <w:p>
      <w:pPr>
        <w:pStyle w:val="SourceCode"/>
        <w:rPr/>
      </w:pPr>
      <w:r>
        <w:rPr>
          <w:rStyle w:val="NormalTok"/>
        </w:rPr>
        <w:t>?LPD_CombAssess</w:t>
      </w:r>
      <w:r>
        <w:rPr/>
        <w:br/>
      </w:r>
      <w:r>
        <w:rPr>
          <w:rStyle w:val="NormalTok"/>
        </w:rPr>
        <w:t>LPD_finalMap &lt;-</w:t>
      </w:r>
      <w:r>
        <w:rPr>
          <w:rStyle w:val="StringTok"/>
        </w:rPr>
        <w:t xml:space="preserve"> </w:t>
      </w:r>
      <w:r>
        <w:rPr>
          <w:rStyle w:val="KeywordTok"/>
        </w:rPr>
        <w:t>LPD_CombAssess</w:t>
      </w:r>
      <w:r>
        <w:rPr>
          <w:rStyle w:val="NormalTok"/>
        </w:rPr>
        <w:t>(</w:t>
      </w:r>
      <w:r>
        <w:rPr>
          <w:rStyle w:val="DataTypeTok"/>
        </w:rPr>
        <w:t>LandProd_change =</w:t>
      </w:r>
      <w:r>
        <w:rPr>
          <w:rStyle w:val="NormalTok"/>
        </w:rPr>
        <w:t xml:space="preserve"> </w:t>
      </w:r>
      <w:r>
        <w:rPr>
          <w:rStyle w:val="StringTok"/>
        </w:rPr>
        <w:t>"Long_Term_Change_Map"</w:t>
      </w:r>
      <w:r>
        <w:rPr>
          <w:rStyle w:val="NormalTok"/>
        </w:rPr>
        <w:t xml:space="preserve">, </w:t>
      </w:r>
      <w:r>
        <w:rPr/>
        <w:br/>
      </w:r>
      <w:r>
        <w:rPr>
          <w:rStyle w:val="NormalTok"/>
        </w:rPr>
        <w:t xml:space="preserve">                               </w:t>
      </w:r>
      <w:r>
        <w:rPr>
          <w:rStyle w:val="DataTypeTok"/>
        </w:rPr>
        <w:t>LandProd_current =</w:t>
      </w:r>
      <w:r>
        <w:rPr>
          <w:rStyle w:val="NormalTok"/>
        </w:rPr>
        <w:t xml:space="preserve">  </w:t>
      </w:r>
      <w:r>
        <w:rPr>
          <w:rStyle w:val="OtherTok"/>
        </w:rPr>
        <w:t>NULL</w:t>
      </w:r>
      <w:r>
        <w:rPr>
          <w:rStyle w:val="NormalTok"/>
        </w:rPr>
        <w:t>,</w:t>
      </w:r>
      <w:r>
        <w:rPr/>
        <w:br/>
      </w:r>
      <w:r>
        <w:rPr>
          <w:rStyle w:val="NormalTok"/>
        </w:rPr>
        <w:t xml:space="preserve">                               </w:t>
      </w:r>
      <w:r>
        <w:rPr>
          <w:rStyle w:val="DataTypeTok"/>
        </w:rPr>
        <w:t>filename =</w:t>
      </w:r>
      <w:r>
        <w:rPr>
          <w:rStyle w:val="NormalTok"/>
        </w:rPr>
        <w:t xml:space="preserve"> </w:t>
      </w:r>
      <w:r>
        <w:rPr>
          <w:rStyle w:val="StringTok"/>
        </w:rPr>
        <w:t>"LPD_finalMap.tif"</w:t>
      </w:r>
      <w:r>
        <w:rPr>
          <w:rStyle w:val="NormalTok"/>
        </w:rPr>
        <w:t>)</w:t>
      </w:r>
      <w:r>
        <w:rPr/>
        <w:br/>
      </w:r>
      <w:r>
        <w:rPr>
          <w:rStyle w:val="KeywordTok"/>
        </w:rPr>
        <w:t>plot</w:t>
      </w:r>
      <w:r>
        <w:rPr>
          <w:rStyle w:val="NormalTok"/>
        </w:rPr>
        <w:t>(LPD_finalMap)</w:t>
      </w:r>
    </w:p>
    <w:p>
      <w:pPr>
        <w:pStyle w:val="FirstParagraph"/>
        <w:rPr/>
      </w:pPr>
      <w:r>
        <w:rPr/>
        <w:t> </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numPr>
          <w:ilvl w:val="1"/>
          <w:numId w:val="2"/>
        </w:numPr>
        <w:rPr/>
      </w:pPr>
      <w:bookmarkStart w:id="9" w:name="ecosystem-functional-types-efts"/>
      <w:r>
        <w:rPr/>
        <w:t>Ecosystem Functional Types (EFTs)</w:t>
      </w:r>
      <w:bookmarkEnd w:id="9"/>
    </w:p>
    <w:p>
      <w:pPr>
        <w:pStyle w:val="FirstParagraph"/>
        <w:rPr/>
      </w:pPr>
      <w:r>
        <w:rPr>
          <w:b/>
        </w:rPr>
        <w:t>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rPr/>
      </w:pPr>
      <w:r>
        <w:rPr/>
        <w:t>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(“screening PCA”) with the less-correlated variables is run in order to know the optimal number of variables to be used in a subsequent PCA, as well as the phenological variable most associated to those Principal Components (PCs); and (3) a “final PCA” 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 (Ivits and Cherlet 2013).</w:t>
      </w:r>
    </w:p>
    <w:p>
      <w:pPr>
        <w:pStyle w:val="Cosdeltext"/>
        <w:rPr/>
      </w:pPr>
      <w:r>
        <w:rPr/>
        <w:t xml:space="preserve">In order to check for multicollinearity among the variables, their average is calculated taking advantage of the parallelization tools (i.e. package </w:t>
      </w:r>
      <w:r>
        <w:rPr>
          <w:i/>
        </w:rPr>
        <w:t>parallel</w:t>
      </w:r>
      <w:r>
        <w:rPr/>
        <w:t xml:space="preserve">). Then, the process is run using the function </w:t>
      </w:r>
      <w:r>
        <w:rPr>
          <w:i/>
        </w:rPr>
        <w:t>removeCollinearity()</w:t>
      </w:r>
      <w:r>
        <w:rPr/>
        <w:t xml:space="preserve">, from the package </w:t>
      </w:r>
      <w:r>
        <w:rPr>
          <w:i/>
        </w:rPr>
        <w:t>virtualspecies</w:t>
      </w:r>
      <w:r>
        <w:rPr/>
        <w:t>.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6</w:t>
      </w:r>
      <w:r>
        <w:rPr/>
        <w:t xml:space="preserve"> to speed up the process. Finally, the user can also choose to randomly select one of the variables of each group of correlation. Figure 6 shows a dendrogram to visualize the groups of intercorrelated variables in the present case study. The main part of the code is as follows:</w:t>
      </w:r>
    </w:p>
    <w:p>
      <w:pPr>
        <w:pStyle w:val="SourceCode"/>
        <w:rPr/>
      </w:pPr>
      <w:r>
        <w:rPr>
          <w:rStyle w:val="NormalTok"/>
        </w:rPr>
        <w:t>vrbles_NoC &lt;-</w:t>
      </w:r>
      <w:r>
        <w:rPr>
          <w:rStyle w:val="StringTok"/>
        </w:rPr>
        <w:t xml:space="preserve"> </w:t>
      </w:r>
      <w:r>
        <w:rPr>
          <w:rStyle w:val="NormalTok"/>
        </w:rPr>
        <w:t>virtualspecies</w:t>
      </w:r>
      <w:r>
        <w:rPr>
          <w:rStyle w:val="OperatorTok"/>
        </w:rPr>
        <w:t>::</w:t>
      </w:r>
      <w:r>
        <w:rPr>
          <w:rStyle w:val="KeywordTok"/>
        </w:rPr>
        <w:t>removeCollinearity</w:t>
      </w:r>
      <w:r>
        <w:rPr>
          <w:rStyle w:val="NormalTok"/>
        </w:rPr>
        <w:t xml:space="preserve">(stack_rstrs_avg, </w:t>
      </w:r>
      <w:r>
        <w:rPr>
          <w:rStyle w:val="DataTypeTok"/>
        </w:rPr>
        <w:t>multicollinearity.cutoff =</w:t>
      </w:r>
      <w:r>
        <w:rPr>
          <w:rStyle w:val="NormalTok"/>
        </w:rPr>
        <w:t xml:space="preserve"> </w:t>
      </w:r>
      <w:r>
        <w:rPr>
          <w:rStyle w:val="FloatTok"/>
        </w:rPr>
        <w:t>0.70</w:t>
      </w:r>
      <w:r>
        <w:rPr>
          <w:rStyle w:val="NormalTok"/>
        </w:rPr>
        <w:t xml:space="preserve">, </w:t>
      </w:r>
      <w:r>
        <w:rPr>
          <w:rStyle w:val="DataTypeTok"/>
        </w:rPr>
        <w:t>select.variables =</w:t>
      </w:r>
      <w:r>
        <w:rPr>
          <w:rStyle w:val="NormalTok"/>
        </w:rPr>
        <w:t xml:space="preserve"> </w:t>
      </w:r>
      <w:r>
        <w:rPr>
          <w:rStyle w:val="OtherTok"/>
        </w:rPr>
        <w:t>TRUE</w:t>
      </w:r>
      <w:r>
        <w:rPr>
          <w:rStyle w:val="NormalTok"/>
        </w:rPr>
        <w:t xml:space="preserve">, </w:t>
      </w:r>
      <w:r>
        <w:rPr>
          <w:rStyle w:val="DataTypeTok"/>
        </w:rPr>
        <w:t>sample.points =</w:t>
      </w:r>
      <w:r>
        <w:rPr>
          <w:rStyle w:val="NormalTok"/>
        </w:rPr>
        <w:t xml:space="preserve"> </w:t>
      </w:r>
      <w:r>
        <w:rPr>
          <w:rStyle w:val="OtherTok"/>
        </w:rPr>
        <w:t>TRUE</w:t>
      </w:r>
      <w:r>
        <w:rPr>
          <w:rStyle w:val="NormalTok"/>
        </w:rPr>
        <w:t xml:space="preserve">, </w:t>
      </w:r>
      <w:r>
        <w:rPr>
          <w:rStyle w:val="DataTypeTok"/>
        </w:rPr>
        <w:t>nb.points =</w:t>
      </w:r>
      <w:r>
        <w:rPr>
          <w:rStyle w:val="NormalTok"/>
        </w:rPr>
        <w:t xml:space="preserve"> </w:t>
      </w:r>
      <w:r>
        <w:rPr>
          <w:rStyle w:val="DecValTok"/>
        </w:rPr>
        <w:t>1000000</w:t>
      </w:r>
      <w:r>
        <w:rPr>
          <w:rStyle w:val="NormalTok"/>
        </w:rPr>
        <w:t xml:space="preserve">, </w:t>
      </w:r>
      <w:r>
        <w:rPr>
          <w:rStyle w:val="DataTypeTok"/>
        </w:rPr>
        <w:t>plot =</w:t>
      </w:r>
      <w:r>
        <w:rPr>
          <w:rStyle w:val="NormalTok"/>
        </w:rPr>
        <w:t xml:space="preserve"> </w:t>
      </w:r>
      <w:r>
        <w:rPr>
          <w:rStyle w:val="OtherTok"/>
        </w:rPr>
        <w:t>TRUE</w:t>
      </w:r>
      <w:r>
        <w:rPr>
          <w:rStyle w:val="NormalTok"/>
        </w:rPr>
        <w:t>)</w:t>
      </w:r>
      <w:r>
        <w:rPr/>
        <w:br/>
        <w:br/>
      </w:r>
      <w:r>
        <w:rPr>
          <w:rStyle w:val="KeywordTok"/>
        </w:rPr>
        <w:t>dev.copy</w:t>
      </w:r>
      <w:r>
        <w:rPr>
          <w:rStyle w:val="NormalTok"/>
        </w:rPr>
        <w:t xml:space="preserve">(jpeg, </w:t>
      </w:r>
      <w:r>
        <w:rPr>
          <w:rStyle w:val="KeywordTok"/>
        </w:rPr>
        <w:t>paste0</w:t>
      </w:r>
      <w:r>
        <w:rPr>
          <w:rStyle w:val="NormalTok"/>
        </w:rPr>
        <w:t xml:space="preserve">(path2tempResults, </w:t>
      </w:r>
      <w:r>
        <w:rPr>
          <w:rStyle w:val="StringTok"/>
        </w:rPr>
        <w:t>"/vars_collinearity.jpg"</w:t>
      </w:r>
      <w:r>
        <w:rPr>
          <w:rStyle w:val="NormalTok"/>
        </w:rPr>
        <w:t>))</w:t>
      </w:r>
      <w:r>
        <w:rPr/>
        <w:br/>
      </w:r>
      <w:r>
        <w:rPr>
          <w:rStyle w:val="KeywordTok"/>
        </w:rPr>
        <w:t>dev.off</w:t>
      </w:r>
      <w:r>
        <w:rPr>
          <w:rStyle w:val="NormalTok"/>
        </w:rPr>
        <w:t xml:space="preserve">() </w:t>
      </w:r>
    </w:p>
    <w:p>
      <w:pPr>
        <w:pStyle w:val="FirstParagraph"/>
        <w:rPr/>
      </w:pPr>
      <w:r>
        <w:rPr/>
        <w:t> </w:t>
      </w:r>
    </w:p>
    <w:p>
      <w:pPr>
        <w:pStyle w:val="Normal"/>
        <w:rPr/>
      </w:pPr>
      <w:r>
        <w:rPr/>
        <w:drawing>
          <wp:inline distT="0" distB="0" distL="114935" distR="114935">
            <wp:extent cx="5486400" cy="5486400"/>
            <wp:effectExtent l="0" t="0" r="0" b="0"/>
            <wp:docPr id="6" name="Imatge5" descr="Figure 6: Dendrogram of groups of correlated variables. Multicollinearity cutoff set to r &gt; |0.7|. sbd: Season Beginning Day; sed: Season End Day; sl: Season Length; si: Season Integral; mi: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Dendrogram of groups of correlated variables. Multicollinearity cutoff set to r &gt; |0.7|. sbd: Season Beginning Day; sed: Season End Day; sl: Season Length; si: Season Integral; mi: Standing Biomass"/>
                    <pic:cNvPicPr>
                      <a:picLocks noChangeAspect="1" noChangeArrowheads="1"/>
                    </pic:cNvPicPr>
                  </pic:nvPicPr>
                  <pic:blipFill>
                    <a:blip r:embed="rId10"/>
                    <a:stretch>
                      <a:fillRect/>
                    </a:stretch>
                  </pic:blipFill>
                  <pic:spPr bwMode="auto">
                    <a:xfrm>
                      <a:off x="0" y="0"/>
                      <a:ext cx="5486400" cy="5486400"/>
                    </a:xfrm>
                    <a:prstGeom prst="rect">
                      <a:avLst/>
                    </a:prstGeom>
                  </pic:spPr>
                </pic:pic>
              </a:graphicData>
            </a:graphic>
          </wp:inline>
        </w:drawing>
      </w:r>
    </w:p>
    <w:p>
      <w:pPr>
        <w:pStyle w:val="Normal"/>
        <w:rPr/>
      </w:pPr>
      <w:r>
        <w:rPr/>
        <w:t>Figure 6: Dendrogram of groups of correlated variables. Multicollinearity cutoff set to r &gt; |0.7|. sbd: Season Beginning Day; sed: Season End Day; sl: Season Length; si: Season Integral; mi: Standing Biomass</w:t>
      </w:r>
    </w:p>
    <w:p>
      <w:pPr>
        <w:pStyle w:val="Cosdeltext"/>
        <w:rPr/>
      </w:pPr>
      <w:r>
        <w:rPr/>
        <w:t>The next step is to run the first “screening PCA”, which is automatically done over the uncorrelated variables. In order to know the optimal number of variables to be used in the subsequent PCA (i.e. “final PCA”), a threshold of cumulative variance of the PCs is implemented. This threshold is established to be 0.9 as default. The main parts of the code for running both the “screening PCA” and the “final PCA” are the following, respectively:</w:t>
      </w:r>
    </w:p>
    <w:p>
      <w:pPr>
        <w:pStyle w:val="SourceCode"/>
        <w:rPr/>
      </w:pPr>
      <w:r>
        <w:rPr>
          <w:rStyle w:val="CommentTok"/>
        </w:rPr>
        <w:t># Running the "screening PCA"</w:t>
      </w:r>
      <w:r>
        <w:rPr/>
        <w:br/>
      </w:r>
      <w:r>
        <w:rPr>
          <w:rStyle w:val="NormalTok"/>
        </w:rPr>
        <w:t>pca &lt;-</w:t>
      </w:r>
      <w:r>
        <w:rPr>
          <w:rStyle w:val="StringTok"/>
        </w:rPr>
        <w:t xml:space="preserve"> </w:t>
      </w:r>
      <w:r>
        <w:rPr>
          <w:rStyle w:val="KeywordTok"/>
        </w:rPr>
        <w:t>prcomp</w:t>
      </w:r>
      <w:r>
        <w:rPr>
          <w:rStyle w:val="NormalTok"/>
        </w:rPr>
        <w:t>(</w:t>
      </w:r>
      <w:r>
        <w:rPr>
          <w:rStyle w:val="KeywordTok"/>
        </w:rPr>
        <w:t>na.omit</w:t>
      </w:r>
      <w:r>
        <w:rPr>
          <w:rStyle w:val="NormalTok"/>
        </w:rPr>
        <w:t xml:space="preserve">(stack_rstrs_avg_noC_df), </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rStyle w:val="CommentTok"/>
        </w:rPr>
        <w:t xml:space="preserve"># to return rotated variables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w:t>
      </w:r>
      <w:r>
        <w:rPr/>
        <w:br/>
      </w:r>
      <w:r>
        <w:rPr>
          <w:rStyle w:val="NormalTok"/>
        </w:rPr>
        <w:t xml:space="preserve">              </w:t>
      </w:r>
      <w:r>
        <w:rPr/>
        <w:br/>
      </w:r>
      <w:r>
        <w:rPr>
          <w:rStyle w:val="CommentTok"/>
        </w:rPr>
        <w:t># Rotating the loadings to clearly associate one variable to each PC</w:t>
      </w:r>
      <w:r>
        <w:rPr/>
        <w:br/>
      </w:r>
      <w:r>
        <w:rPr>
          <w:rStyle w:val="NormalTok"/>
        </w:rPr>
        <w:t>pca.rotated &lt;-</w:t>
      </w:r>
      <w:r>
        <w:rPr>
          <w:rStyle w:val="StringTok"/>
        </w:rPr>
        <w:t xml:space="preserve"> </w:t>
      </w:r>
      <w:r>
        <w:rPr>
          <w:rStyle w:val="KeywordTok"/>
        </w:rPr>
        <w:t>varimax</w:t>
      </w:r>
      <w:r>
        <w:rPr>
          <w:rStyle w:val="NormalTok"/>
        </w:rPr>
        <w:t>(pca</w:t>
      </w:r>
      <w:r>
        <w:rPr>
          <w:rStyle w:val="OperatorTok"/>
        </w:rPr>
        <w:t>$</w:t>
      </w:r>
      <w:r>
        <w:rPr>
          <w:rStyle w:val="NormalTok"/>
        </w:rPr>
        <w:t xml:space="preserve">rotation, </w:t>
      </w:r>
      <w:r>
        <w:rPr>
          <w:rStyle w:val="DataTypeTok"/>
        </w:rPr>
        <w:t>normalize =</w:t>
      </w:r>
      <w:r>
        <w:rPr>
          <w:rStyle w:val="NormalTok"/>
        </w:rPr>
        <w:t xml:space="preserve"> </w:t>
      </w:r>
      <w:r>
        <w:rPr>
          <w:rStyle w:val="OtherTok"/>
        </w:rPr>
        <w:t>TRUE</w:t>
      </w:r>
      <w:r>
        <w:rPr>
          <w:rStyle w:val="NormalTok"/>
        </w:rPr>
        <w:t>)</w:t>
      </w:r>
      <w:r>
        <w:rPr/>
        <w:br/>
        <w:br/>
      </w:r>
      <w:r>
        <w:rPr>
          <w:rStyle w:val="CommentTok"/>
        </w:rPr>
        <w:t># Selecting "useful" PCs/variables</w:t>
      </w:r>
      <w:r>
        <w:rPr/>
        <w:br/>
      </w:r>
      <w:r>
        <w:rPr>
          <w:rStyle w:val="NormalTok"/>
        </w:rPr>
        <w:t>pca_importance &lt;-</w:t>
      </w:r>
      <w:r>
        <w:rPr>
          <w:rStyle w:val="StringTok"/>
        </w:rPr>
        <w:t xml:space="preserve"> </w:t>
      </w:r>
      <w:r>
        <w:rPr>
          <w:rStyle w:val="KeywordTok"/>
        </w:rPr>
        <w:t>summary</w:t>
      </w:r>
      <w:r>
        <w:rPr>
          <w:rStyle w:val="NormalTok"/>
        </w:rPr>
        <w:t>(pca)</w:t>
      </w:r>
      <w:r>
        <w:rPr/>
        <w:br/>
      </w:r>
      <w:r>
        <w:rPr>
          <w:rStyle w:val="NormalTok"/>
        </w:rPr>
        <w:t>pca_importance &lt;-</w:t>
      </w:r>
      <w:r>
        <w:rPr>
          <w:rStyle w:val="StringTok"/>
        </w:rPr>
        <w:t xml:space="preserve"> </w:t>
      </w:r>
      <w:r>
        <w:rPr>
          <w:rStyle w:val="KeywordTok"/>
        </w:rPr>
        <w:t>as.data.frame</w:t>
      </w:r>
      <w:r>
        <w:rPr>
          <w:rStyle w:val="NormalTok"/>
        </w:rPr>
        <w:t>(pca_importance)</w:t>
      </w:r>
      <w:r>
        <w:rPr/>
        <w:br/>
      </w:r>
      <w:r>
        <w:rPr>
          <w:rStyle w:val="NormalTok"/>
        </w:rPr>
        <w:t>cumul_varnce_threshold &lt;-</w:t>
      </w:r>
      <w:r>
        <w:rPr>
          <w:rStyle w:val="StringTok"/>
        </w:rPr>
        <w:t xml:space="preserve"> </w:t>
      </w:r>
      <w:r>
        <w:rPr>
          <w:rStyle w:val="FloatTok"/>
        </w:rPr>
        <w:t>0.9</w:t>
      </w:r>
      <w:r>
        <w:rPr>
          <w:rStyle w:val="NormalTok"/>
        </w:rPr>
        <w:t xml:space="preserve">  </w:t>
      </w:r>
      <w:r>
        <w:rPr>
          <w:rStyle w:val="CommentTok"/>
        </w:rPr>
        <w:t># Threshold of cumulative variance used to select the number of useful PCs</w:t>
      </w:r>
      <w:r>
        <w:rPr/>
        <w:br/>
      </w:r>
      <w:r>
        <w:rPr>
          <w:rStyle w:val="NormalTok"/>
        </w:rPr>
        <w:t>usefulPCs &lt;-</w:t>
      </w:r>
      <w:r>
        <w:rPr>
          <w:rStyle w:val="StringTok"/>
        </w:rPr>
        <w:t xml:space="preserve"> </w:t>
      </w:r>
      <w:r>
        <w:rPr>
          <w:rStyle w:val="KeywordTok"/>
        </w:rPr>
        <w:t>which</w:t>
      </w:r>
      <w:r>
        <w:rPr>
          <w:rStyle w:val="NormalTok"/>
        </w:rPr>
        <w:t>(pca_importance[</w:t>
      </w:r>
      <w:r>
        <w:rPr>
          <w:rStyle w:val="DecValTok"/>
        </w:rPr>
        <w:t>3</w:t>
      </w:r>
      <w:r>
        <w:rPr>
          <w:rStyle w:val="NormalTok"/>
        </w:rPr>
        <w:t xml:space="preserve"> ,] </w:t>
      </w:r>
      <w:r>
        <w:rPr>
          <w:rStyle w:val="OperatorTok"/>
        </w:rPr>
        <w:t>&gt;=</w:t>
      </w:r>
      <w:r>
        <w:rPr>
          <w:rStyle w:val="StringTok"/>
        </w:rPr>
        <w:t xml:space="preserve"> </w:t>
      </w:r>
      <w:r>
        <w:rPr>
          <w:rStyle w:val="NormalTok"/>
        </w:rPr>
        <w:t>cumul_varnce_threshold)[</w:t>
      </w:r>
      <w:r>
        <w:rPr>
          <w:rStyle w:val="DecValTok"/>
        </w:rPr>
        <w:t>1</w:t>
      </w:r>
      <w:r>
        <w:rPr>
          <w:rStyle w:val="NormalTok"/>
        </w:rPr>
        <w:t>]</w:t>
      </w:r>
      <w:r>
        <w:rPr/>
        <w:br/>
      </w:r>
      <w:r>
        <w:rPr>
          <w:rStyle w:val="NormalTok"/>
        </w:rPr>
        <w:t>pca_importance &lt;-</w:t>
      </w:r>
      <w:r>
        <w:rPr>
          <w:rStyle w:val="StringTok"/>
        </w:rPr>
        <w:t xml:space="preserve"> </w:t>
      </w:r>
      <w:r>
        <w:rPr>
          <w:rStyle w:val="NormalTok"/>
        </w:rPr>
        <w:t xml:space="preserve">pca_importance[, </w:t>
      </w:r>
      <w:r>
        <w:rPr>
          <w:rStyle w:val="DecValTok"/>
        </w:rPr>
        <w:t>1</w:t>
      </w:r>
      <w:r>
        <w:rPr>
          <w:rStyle w:val="OperatorTok"/>
        </w:rPr>
        <w:t>:</w:t>
      </w:r>
      <w:r>
        <w:rPr>
          <w:rStyle w:val="NormalTok"/>
        </w:rPr>
        <w:t>usefulPCs]</w:t>
      </w:r>
      <w:r>
        <w:rPr/>
        <w:br/>
      </w:r>
      <w:r>
        <w:rPr>
          <w:rStyle w:val="ControlFlowTok"/>
        </w:rPr>
        <w:t>if</w:t>
      </w:r>
      <w:r>
        <w:rPr>
          <w:rStyle w:val="NormalTok"/>
        </w:rPr>
        <w:t xml:space="preserve">(nPCs </w:t>
      </w:r>
      <w:r>
        <w:rPr>
          <w:rStyle w:val="OperatorTok"/>
        </w:rPr>
        <w:t>&gt;</w:t>
      </w:r>
      <w:r>
        <w:rPr>
          <w:rStyle w:val="StringTok"/>
        </w:rPr>
        <w:t xml:space="preserve"> </w:t>
      </w:r>
      <w:r>
        <w:rPr>
          <w:rStyle w:val="KeywordTok"/>
        </w:rPr>
        <w:t>ncol</w:t>
      </w:r>
      <w:r>
        <w:rPr>
          <w:rStyle w:val="NormalTok"/>
        </w:rPr>
        <w:t>(pca_importance)) nPCs &lt;-</w:t>
      </w:r>
      <w:r>
        <w:rPr>
          <w:rStyle w:val="StringTok"/>
        </w:rPr>
        <w:t xml:space="preserve"> </w:t>
      </w:r>
      <w:r>
        <w:rPr>
          <w:rStyle w:val="KeywordTok"/>
        </w:rPr>
        <w:t>ncol</w:t>
      </w:r>
      <w:r>
        <w:rPr>
          <w:rStyle w:val="NormalTok"/>
        </w:rPr>
        <w:t>(pca_importance)</w:t>
      </w:r>
      <w:r>
        <w:rPr/>
        <w:br/>
      </w:r>
      <w:r>
        <w:rPr>
          <w:rStyle w:val="NormalTok"/>
        </w:rPr>
        <w:t>screeningPCA_variables_df &lt;-</w:t>
      </w:r>
      <w:r>
        <w:rPr>
          <w:rStyle w:val="StringTok"/>
        </w:rPr>
        <w:t xml:space="preserve"> </w:t>
      </w:r>
      <w:r>
        <w:rPr>
          <w:rStyle w:val="NormalTok"/>
        </w:rPr>
        <w:t>pca.rotated</w:t>
      </w:r>
      <w:r>
        <w:rPr>
          <w:rStyle w:val="OperatorTok"/>
        </w:rPr>
        <w:t>$</w:t>
      </w:r>
      <w:r>
        <w:rPr>
          <w:rStyle w:val="NormalTok"/>
        </w:rPr>
        <w:t>loadings</w:t>
      </w:r>
      <w:r>
        <w:rPr/>
        <w:br/>
      </w:r>
      <w:r>
        <w:rPr>
          <w:rStyle w:val="NormalTok"/>
        </w:rPr>
        <w:t>screeningPCA_variables_df &lt;-</w:t>
      </w:r>
      <w:r>
        <w:rPr>
          <w:rStyle w:val="StringTok"/>
        </w:rPr>
        <w:t xml:space="preserve"> </w:t>
      </w:r>
      <w:r>
        <w:rPr>
          <w:rStyle w:val="KeywordTok"/>
        </w:rPr>
        <w:t>as.data.frame</w:t>
      </w:r>
      <w:r>
        <w:rPr>
          <w:rStyle w:val="NormalTok"/>
        </w:rPr>
        <w:t>(</w:t>
      </w:r>
      <w:r>
        <w:rPr>
          <w:rStyle w:val="KeywordTok"/>
        </w:rPr>
        <w:t>unclass</w:t>
      </w:r>
      <w:r>
        <w:rPr>
          <w:rStyle w:val="NormalTok"/>
        </w:rPr>
        <w:t>(screeningPCA_variables_df))</w:t>
      </w:r>
      <w:r>
        <w:rPr/>
        <w:br/>
      </w:r>
      <w:r>
        <w:rPr>
          <w:rStyle w:val="NormalTok"/>
        </w:rPr>
        <w:t>screeningPCA_variables_df &lt;-</w:t>
      </w:r>
      <w:r>
        <w:rPr>
          <w:rStyle w:val="StringTok"/>
        </w:rPr>
        <w:t xml:space="preserve"> </w:t>
      </w:r>
      <w:r>
        <w:rPr>
          <w:rStyle w:val="KeywordTok"/>
        </w:rPr>
        <w:t>round</w:t>
      </w:r>
      <w:r>
        <w:rPr>
          <w:rStyle w:val="NormalTok"/>
        </w:rPr>
        <w:t xml:space="preserve">(screeningPCA_variables_df, </w:t>
      </w:r>
      <w:r>
        <w:rPr>
          <w:rStyle w:val="DecValTok"/>
        </w:rPr>
        <w:t>0</w:t>
      </w:r>
      <w:r>
        <w:rPr>
          <w:rStyle w:val="NormalTok"/>
        </w:rPr>
        <w:t xml:space="preserve">)[, </w:t>
      </w:r>
      <w:r>
        <w:rPr>
          <w:rStyle w:val="KeywordTok"/>
        </w:rPr>
        <w:t>c</w:t>
      </w:r>
      <w:r>
        <w:rPr>
          <w:rStyle w:val="NormalTok"/>
        </w:rPr>
        <w:t>(</w:t>
      </w:r>
      <w:r>
        <w:rPr>
          <w:rStyle w:val="DecValTok"/>
        </w:rPr>
        <w:t>1</w:t>
      </w:r>
      <w:r>
        <w:rPr>
          <w:rStyle w:val="OperatorTok"/>
        </w:rPr>
        <w:t>:</w:t>
      </w:r>
      <w:r>
        <w:rPr>
          <w:rStyle w:val="NormalTok"/>
        </w:rPr>
        <w:t>nPCs)]</w:t>
      </w:r>
      <w:r>
        <w:rPr/>
        <w:br/>
      </w:r>
      <w:r>
        <w:rPr>
          <w:rStyle w:val="NormalTok"/>
        </w:rPr>
        <w:t>screeningPCA_variables &lt;-</w:t>
      </w:r>
      <w:r>
        <w:rPr>
          <w:rStyle w:val="StringTok"/>
        </w:rPr>
        <w:t xml:space="preserve"> </w:t>
      </w:r>
      <w:r>
        <w:rPr>
          <w:rStyle w:val="KeywordTok"/>
        </w:rPr>
        <w:t>names</w:t>
      </w:r>
      <w:r>
        <w:rPr>
          <w:rStyle w:val="NormalTok"/>
        </w:rPr>
        <w:t>(</w:t>
      </w:r>
      <w:r>
        <w:rPr>
          <w:rStyle w:val="KeywordTok"/>
        </w:rPr>
        <w:t>which</w:t>
      </w:r>
      <w:r>
        <w:rPr>
          <w:rStyle w:val="NormalTok"/>
        </w:rPr>
        <w:t>(</w:t>
      </w:r>
      <w:r>
        <w:rPr>
          <w:rStyle w:val="KeywordTok"/>
        </w:rPr>
        <w:t>apply</w:t>
      </w:r>
      <w:r>
        <w:rPr>
          <w:rStyle w:val="NormalTok"/>
        </w:rPr>
        <w:t xml:space="preserve">(screeningPCA_variables_df, </w:t>
      </w:r>
      <w:r>
        <w:rPr>
          <w:rStyle w:val="DecValTok"/>
        </w:rPr>
        <w:t>1</w:t>
      </w:r>
      <w:r>
        <w:rPr>
          <w:rStyle w:val="NormalTok"/>
        </w:rPr>
        <w:t xml:space="preserve">, sum) </w:t>
      </w:r>
      <w:r>
        <w:rPr>
          <w:rStyle w:val="OperatorTok"/>
        </w:rPr>
        <w:t>!=</w:t>
      </w:r>
      <w:r>
        <w:rPr>
          <w:rStyle w:val="StringTok"/>
        </w:rPr>
        <w:t xml:space="preserve"> </w:t>
      </w:r>
      <w:r>
        <w:rPr>
          <w:rStyle w:val="DecValTok"/>
        </w:rPr>
        <w:t>0</w:t>
      </w:r>
      <w:r>
        <w:rPr>
          <w:rStyle w:val="NormalTok"/>
        </w:rPr>
        <w:t>))</w:t>
      </w:r>
    </w:p>
    <w:p>
      <w:pPr>
        <w:pStyle w:val="FirstParagraph"/>
        <w:rPr/>
      </w:pPr>
      <w:r>
        <w:rPr/>
        <w:t> </w:t>
      </w:r>
    </w:p>
    <w:p>
      <w:pPr>
        <w:pStyle w:val="SourceCode"/>
        <w:rPr/>
      </w:pPr>
      <w:r>
        <w:rPr>
          <w:rStyle w:val="CommentTok"/>
        </w:rPr>
        <w:t>#Performing the "final PCA"</w:t>
      </w:r>
      <w:r>
        <w:rPr/>
        <w:br/>
      </w:r>
      <w:r>
        <w:rPr>
          <w:rStyle w:val="NormalTok"/>
        </w:rPr>
        <w:t>stack_rstrs_avg_noC_df_final &lt;-</w:t>
      </w:r>
      <w:r>
        <w:rPr>
          <w:rStyle w:val="StringTok"/>
        </w:rPr>
        <w:t xml:space="preserve"> </w:t>
      </w:r>
      <w:r>
        <w:rPr>
          <w:rStyle w:val="NormalTok"/>
        </w:rPr>
        <w:t xml:space="preserve">stack_rstrs_avg_noC_df[, </w:t>
      </w:r>
      <w:r>
        <w:rPr>
          <w:rStyle w:val="KeywordTok"/>
        </w:rPr>
        <w:t>names</w:t>
      </w:r>
      <w:r>
        <w:rPr>
          <w:rStyle w:val="NormalTok"/>
        </w:rPr>
        <w:t xml:space="preserve">(stack_rstrs_avg_noC_df) </w:t>
      </w:r>
      <w:r>
        <w:rPr>
          <w:rStyle w:val="OperatorTok"/>
        </w:rPr>
        <w:t>%in%</w:t>
      </w:r>
      <w:r>
        <w:rPr>
          <w:rStyle w:val="StringTok"/>
        </w:rPr>
        <w:t xml:space="preserve"> </w:t>
      </w:r>
      <w:r>
        <w:rPr>
          <w:rStyle w:val="NormalTok"/>
        </w:rPr>
        <w:t>screeningPCA_variables]</w:t>
      </w:r>
      <w:r>
        <w:rPr/>
        <w:br/>
      </w:r>
      <w:r>
        <w:rPr>
          <w:rStyle w:val="NormalTok"/>
        </w:rPr>
        <w:t>pca_final &lt;-</w:t>
      </w:r>
      <w:r>
        <w:rPr>
          <w:rStyle w:val="StringTok"/>
        </w:rPr>
        <w:t xml:space="preserve"> </w:t>
      </w:r>
      <w:r>
        <w:rPr>
          <w:rStyle w:val="KeywordTok"/>
        </w:rPr>
        <w:t>prcomp</w:t>
      </w:r>
      <w:r>
        <w:rPr>
          <w:rStyle w:val="NormalTok"/>
        </w:rPr>
        <w:t>(</w:t>
      </w:r>
      <w:r>
        <w:rPr>
          <w:rStyle w:val="KeywordTok"/>
        </w:rPr>
        <w:t>na.omit</w:t>
      </w:r>
      <w:r>
        <w:rPr>
          <w:rStyle w:val="NormalTok"/>
        </w:rPr>
        <w:t>(stack_rstrs_avg_noC_df_final),</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   </w:t>
      </w:r>
    </w:p>
    <w:p>
      <w:pPr>
        <w:pStyle w:val="FirstParagraph"/>
        <w:rPr/>
      </w:pPr>
      <w:r>
        <w:rPr/>
        <w:t> </w:t>
      </w:r>
    </w:p>
    <w:p>
      <w:pPr>
        <w:pStyle w:val="Cosdeltext"/>
        <w:rPr/>
      </w:pPr>
      <w:r>
        <w:rPr/>
        <w:t xml:space="preserve">Finally, the clustering algorithm is implemented over the selected PCs using the function </w:t>
      </w:r>
      <w:r>
        <w:rPr>
          <w:i/>
        </w:rPr>
        <w:t>kmeans()</w:t>
      </w:r>
      <w:r>
        <w:rPr/>
        <w:t xml:space="preserve"> from the package </w:t>
      </w:r>
      <w:r>
        <w:rPr>
          <w:i/>
        </w:rPr>
        <w:t>stats</w:t>
      </w:r>
      <w:r>
        <w:rP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w:t>
      </w:r>
      <w:r>
        <w:rPr>
          <w:b/>
        </w:rPr>
        <w:t>around 20</w:t>
      </w:r>
      <w:r>
        <w:rPr/>
        <w:t>, using the “scree-plot method”. Such method is based on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(model complexity) increases. See Figure 7 for the results of this assessment.</w:t>
      </w:r>
    </w:p>
    <w:p>
      <w:pPr>
        <w:pStyle w:val="Normal"/>
        <w:rPr/>
      </w:pPr>
      <w:r>
        <w:rPr/>
        <w:drawing>
          <wp:inline distT="0" distB="0" distL="114935" distR="114935">
            <wp:extent cx="5486400" cy="5486400"/>
            <wp:effectExtent l="0" t="0" r="0" b="0"/>
            <wp:docPr id="7" name="Imatge6" descr="Figure 7: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1"/>
                    <a:stretch>
                      <a:fillRect/>
                    </a:stretch>
                  </pic:blipFill>
                  <pic:spPr bwMode="auto">
                    <a:xfrm>
                      <a:off x="0" y="0"/>
                      <a:ext cx="5486400" cy="5486400"/>
                    </a:xfrm>
                    <a:prstGeom prst="rect">
                      <a:avLst/>
                    </a:prstGeom>
                  </pic:spPr>
                </pic:pic>
              </a:graphicData>
            </a:graphic>
          </wp:inline>
        </w:drawing>
      </w:r>
    </w:p>
    <w:p>
      <w:pPr>
        <w:pStyle w:val="Normal"/>
        <w:rPr/>
      </w:pPr>
      <w:r>
        <w:rPr/>
        <w:t>Figure 7: “Scree plot” method used to calculate the optimal number of clusters. The “elbow” indicates where the quality of the model no longer improves substantially as the number of clusters (model complexity) increases</w:t>
      </w:r>
    </w:p>
    <w:p>
      <w:pPr>
        <w:pStyle w:val="Cosdeltext"/>
        <w:rPr/>
      </w:pPr>
      <w:r>
        <w:rPr/>
        <w:t>The “scree plot” 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rPr/>
      </w:pPr>
      <w:r>
        <w:rPr/>
        <w:t xml:space="preserve">In addition, </w:t>
      </w:r>
      <w:r>
        <w:rPr>
          <w:i/>
        </w:rPr>
        <w:t>k-means()</w:t>
      </w:r>
      <w:r>
        <w:rPr/>
        <w:t xml:space="preserve"> can use different algorithms to perform the clustering (e.g. “MacQueen”, “Hartigan-Wong”, etc.). As stated in the function documentation (</w:t>
      </w:r>
      <w:r>
        <w:rPr>
          <w:i/>
        </w:rPr>
        <w:t>?k-means</w:t>
      </w:r>
      <w:r>
        <w:rPr/>
        <w:t>), “Hartigan-Wong” usually gives better results, althoug it is recommended to try several starts (</w:t>
      </w:r>
      <w:r>
        <w:rPr>
          <w:i/>
        </w:rPr>
        <w:t>nstart&gt;1</w:t>
      </w:r>
      <w:r>
        <w:rPr/>
        <w:t xml:space="preserve">; the function chooses the best result). However, when using “Hartigan-Wong” with a (too) large number of clusters and a lot of values of the variables are very similar, </w:t>
      </w:r>
      <w:r>
        <w:rPr>
          <w:i/>
        </w:rPr>
        <w:t>k-means()</w:t>
      </w:r>
      <w:r>
        <w:rPr/>
        <w:t xml:space="preserve"> is not able to converge in an acceptable amount of time (even increasing the number of iterations). In these cases, the user has to be careful because </w:t>
      </w:r>
      <w:r>
        <w:rPr>
          <w:i/>
        </w:rPr>
        <w:t>k-means()</w:t>
      </w:r>
      <w:r>
        <w:rPr/>
        <w:t xml:space="preserve"> only gives a warning, so the final clustering is based on a non converged process. Diminishing the number of clusters or rounding variables’ values might be good strategies to help </w:t>
      </w:r>
      <w:r>
        <w:rPr>
          <w:i/>
        </w:rPr>
        <w:t>k-means()</w:t>
      </w:r>
      <w:r>
        <w:rPr/>
        <w:t xml:space="preserve"> to converge.</w:t>
      </w:r>
    </w:p>
    <w:p>
      <w:pPr>
        <w:pStyle w:val="Cosdeltext"/>
        <w:rPr/>
      </w:pPr>
      <w:r>
        <w:rPr/>
        <w:t xml:space="preserve">This is the main part of the code to perform the “scree-plot method” </w:t>
      </w:r>
      <w:r>
        <w:rPr>
          <w:b/>
        </w:rPr>
        <w:t>In the package this part will be an independent function to be run only if the optimal number of clusters wants to be assessed</w:t>
      </w:r>
      <w:r>
        <w:rPr/>
        <w:t>.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rPr/>
      </w:pPr>
      <w:r>
        <w:rPr>
          <w:rStyle w:val="NormalTok"/>
        </w:rPr>
        <w:t>wss &lt;-</w:t>
      </w:r>
      <w:r>
        <w:rPr>
          <w:rStyle w:val="StringTok"/>
        </w:rPr>
        <w:t xml:space="preserve"> </w:t>
      </w:r>
      <w:r>
        <w:rPr>
          <w:rStyle w:val="NormalTok"/>
        </w:rPr>
        <w:t>(</w:t>
      </w:r>
      <w:r>
        <w:rPr>
          <w:rStyle w:val="KeywordTok"/>
        </w:rPr>
        <w:t>nrow</w:t>
      </w:r>
      <w:r>
        <w:rPr>
          <w:rStyle w:val="NormalTok"/>
        </w:rPr>
        <w:t xml:space="preserve">(pca_data_ini)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sum</w:t>
      </w:r>
      <w:r>
        <w:rPr>
          <w:rStyle w:val="NormalTok"/>
        </w:rPr>
        <w:t>(</w:t>
      </w:r>
      <w:r>
        <w:rPr>
          <w:rStyle w:val="KeywordTok"/>
        </w:rPr>
        <w:t>apply</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ecValTok"/>
        </w:rPr>
        <w:t>2</w:t>
      </w:r>
      <w:r>
        <w:rPr>
          <w:rStyle w:val="NormalTok"/>
        </w:rPr>
        <w:t>, var))</w:t>
      </w:r>
      <w:r>
        <w:rPr/>
        <w:br/>
      </w:r>
      <w:r>
        <w:rPr>
          <w:rStyle w:val="NormalTok"/>
        </w:rPr>
        <w:t>num_clstrs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rP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 xml:space="preserve">(num_clstrs) </w:t>
      </w:r>
      <w:r>
        <w:rPr>
          <w:rStyle w:val="OperatorTok"/>
        </w:rPr>
        <w:t>+</w:t>
      </w:r>
      <w:r>
        <w:rPr>
          <w:rStyle w:val="StringTok"/>
        </w:rPr>
        <w:t xml:space="preserve"> </w:t>
      </w:r>
      <w:r>
        <w:rPr>
          <w:rStyle w:val="DecValTok"/>
        </w:rPr>
        <w:t>1</w:t>
      </w:r>
      <w:r>
        <w:rPr>
          <w:rStyle w:val="NormalTok"/>
        </w:rPr>
        <w:t>)) wss[i]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ataTypeTok"/>
        </w:rPr>
        <w:t>centers =</w:t>
      </w:r>
      <w:r>
        <w:rPr>
          <w:rStyle w:val="NormalTok"/>
        </w:rPr>
        <w:t xml:space="preserve"> num_clstrs[i </w:t>
      </w:r>
      <w:r>
        <w:rPr>
          <w:rStyle w:val="OperatorTok"/>
        </w:rPr>
        <w:t>-</w:t>
      </w:r>
      <w:r>
        <w:rPr>
          <w:rStyle w:val="StringTok"/>
        </w:rPr>
        <w:t xml:space="preserve"> </w:t>
      </w:r>
      <w:r>
        <w:rPr>
          <w:rStyle w:val="DecValTok"/>
        </w:rPr>
        <w:t>1</w:t>
      </w:r>
      <w:r>
        <w:rPr>
          <w:rStyle w:val="NormalTok"/>
        </w:rPr>
        <w:t xml:space="preserve">], </w:t>
      </w:r>
      <w:r>
        <w:rPr>
          <w:rStyle w:val="DataTypeTok"/>
        </w:rPr>
        <w:t>nstart =</w:t>
      </w:r>
      <w:r>
        <w:rPr>
          <w:rStyle w:val="NormalTok"/>
        </w:rPr>
        <w:t xml:space="preserve"> </w:t>
      </w:r>
      <w:r>
        <w:rPr>
          <w:rStyle w:val="DecValTok"/>
        </w:rPr>
        <w:t>1</w:t>
      </w:r>
      <w:r>
        <w:rPr>
          <w:rStyle w:val="NormalTok"/>
        </w:rPr>
        <w:t xml:space="preserve">, </w:t>
      </w:r>
      <w:r>
        <w:rPr>
          <w:rStyle w:val="DataTypeTok"/>
        </w:rPr>
        <w:t>iter.max =</w:t>
      </w:r>
      <w:r>
        <w:rPr>
          <w:rStyle w:val="NormalTok"/>
        </w:rPr>
        <w:t xml:space="preserve"> </w:t>
      </w:r>
      <w:r>
        <w:rPr>
          <w:rStyle w:val="DecValTok"/>
        </w:rPr>
        <w:t>10</w:t>
      </w:r>
      <w:r>
        <w:rPr>
          <w:rStyle w:val="NormalTok"/>
        </w:rPr>
        <w:t>,</w:t>
      </w:r>
      <w:r>
        <w:rPr>
          <w:rStyle w:val="DataTypeTok"/>
        </w:rPr>
        <w:t>algorithm =</w:t>
      </w:r>
      <w:r>
        <w:rPr>
          <w:rStyle w:val="NormalTok"/>
        </w:rPr>
        <w:t xml:space="preserve"> </w:t>
      </w:r>
      <w:r>
        <w:rPr>
          <w:rStyle w:val="StringTok"/>
        </w:rPr>
        <w:t>"MacQueen"</w:t>
      </w:r>
      <w:r>
        <w:rPr>
          <w:rStyle w:val="NormalTok"/>
        </w:rPr>
        <w:t>)</w:t>
      </w:r>
      <w:r>
        <w:rPr>
          <w:rStyle w:val="OperatorTok"/>
        </w:rPr>
        <w:t>$</w:t>
      </w:r>
      <w:r>
        <w:rPr>
          <w:rStyle w:val="NormalTok"/>
        </w:rPr>
        <w:t>tot.withinss</w:t>
      </w:r>
      <w:r>
        <w:rPr/>
        <w:br/>
        <w:br/>
      </w:r>
      <w:r>
        <w:rPr>
          <w:rStyle w:val="KeywordTok"/>
        </w:rPr>
        <w:t>jpeg</w:t>
      </w:r>
      <w:r>
        <w:rPr>
          <w:rStyle w:val="NormalTok"/>
        </w:rPr>
        <w:t>(</w:t>
      </w:r>
      <w:r>
        <w:rPr>
          <w:rStyle w:val="KeywordTok"/>
        </w:rPr>
        <w:t>paste0</w:t>
      </w:r>
      <w:r>
        <w:rPr>
          <w:rStyle w:val="NormalTok"/>
        </w:rPr>
        <w:t xml:space="preserve">(path2tempResults, </w:t>
      </w:r>
      <w:r>
        <w:rPr>
          <w:rStyle w:val="StringTok"/>
        </w:rPr>
        <w:t>"/optim_num_clusters.jpg"</w:t>
      </w:r>
      <w:r>
        <w:rPr>
          <w:rStyle w:val="NormalTok"/>
        </w:rPr>
        <w:t>))</w:t>
      </w:r>
      <w:r>
        <w:rPr/>
        <w:br/>
      </w:r>
      <w:r>
        <w:rPr>
          <w:rStyle w:val="KeywordTok"/>
        </w:rPr>
        <w:t>plot</w:t>
      </w:r>
      <w:r>
        <w:rPr>
          <w:rStyle w:val="NormalTok"/>
        </w:rPr>
        <w:t>(</w:t>
      </w:r>
      <w:r>
        <w:rPr>
          <w:rStyle w:val="KeywordTok"/>
        </w:rPr>
        <w:t>c</w:t>
      </w:r>
      <w:r>
        <w:rPr>
          <w:rStyle w:val="NormalTok"/>
        </w:rPr>
        <w:t>(</w:t>
      </w:r>
      <w:r>
        <w:rPr>
          <w:rStyle w:val="DecValTok"/>
        </w:rPr>
        <w:t>1</w:t>
      </w:r>
      <w:r>
        <w:rPr>
          <w:rStyle w:val="NormalTok"/>
        </w:rPr>
        <w:t xml:space="preserve">, num_clstrs), wss, </w:t>
      </w:r>
      <w:r>
        <w:rPr>
          <w:rStyle w:val="DataTypeTok"/>
        </w:rPr>
        <w:t>type =</w:t>
      </w:r>
      <w:r>
        <w:rPr>
          <w:rStyle w:val="NormalTok"/>
        </w:rPr>
        <w:t xml:space="preserve"> </w:t>
      </w:r>
      <w:r>
        <w:rPr>
          <w:rStyle w:val="StringTok"/>
        </w:rPr>
        <w:t>"b"</w:t>
      </w:r>
      <w:r>
        <w:rPr>
          <w:rStyle w:val="NormalTok"/>
        </w:rPr>
        <w:t xml:space="preserve">, </w:t>
      </w:r>
      <w:r>
        <w:rPr/>
        <w:br/>
      </w:r>
      <w:r>
        <w:rPr>
          <w:rStyle w:val="NormalTok"/>
        </w:rPr>
        <w:t xml:space="preserve">     </w:t>
      </w:r>
      <w:r>
        <w:rPr>
          <w:rStyle w:val="DataTypeTok"/>
        </w:rPr>
        <w:t>xlab =</w:t>
      </w:r>
      <w:r>
        <w:rPr>
          <w:rStyle w:val="NormalTok"/>
        </w:rPr>
        <w:t xml:space="preserve"> </w:t>
      </w:r>
      <w:r>
        <w:rPr>
          <w:rStyle w:val="StringTok"/>
        </w:rPr>
        <w:t>"Number of Clusters"</w:t>
      </w:r>
      <w:r>
        <w:rPr>
          <w:rStyle w:val="NormalTok"/>
        </w:rPr>
        <w:t>,</w:t>
      </w:r>
      <w:r>
        <w:rPr/>
        <w:br/>
      </w:r>
      <w:r>
        <w:rPr>
          <w:rStyle w:val="NormalTok"/>
        </w:rPr>
        <w:t xml:space="preserve">     </w:t>
      </w:r>
      <w:r>
        <w:rPr>
          <w:rStyle w:val="DataTypeTok"/>
        </w:rPr>
        <w:t>ylab =</w:t>
      </w:r>
      <w:r>
        <w:rPr>
          <w:rStyle w:val="NormalTok"/>
        </w:rPr>
        <w:t xml:space="preserve"> </w:t>
      </w:r>
      <w:r>
        <w:rPr>
          <w:rStyle w:val="StringTok"/>
        </w:rPr>
        <w:t>"Within groups sum of squares"</w:t>
      </w:r>
      <w:r>
        <w:rPr>
          <w:rStyle w:val="NormalTok"/>
        </w:rPr>
        <w:t>)</w:t>
      </w:r>
      <w:r>
        <w:rPr/>
        <w:br/>
      </w:r>
      <w:r>
        <w:rPr>
          <w:rStyle w:val="KeywordTok"/>
        </w:rPr>
        <w:t>dev.off</w:t>
      </w:r>
      <w:r>
        <w:rPr>
          <w:rStyle w:val="NormalTok"/>
        </w:rPr>
        <w:t xml:space="preserve">() </w:t>
      </w:r>
    </w:p>
    <w:p>
      <w:pPr>
        <w:pStyle w:val="FirstParagraph"/>
        <w:rPr/>
      </w:pPr>
      <w:r>
        <w:rPr/>
        <w:t> </w:t>
      </w:r>
    </w:p>
    <w:p>
      <w:pPr>
        <w:pStyle w:val="Cosdeltext"/>
        <w:rPr/>
      </w:pPr>
      <w:r>
        <w:rPr/>
        <w:t>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rPr/>
      </w:pPr>
      <w:r>
        <w:rPr/>
        <w:t>The very last step is to assign spatial information to the results of the K-means clustering. The EFTs resulted from the whole process can be seen in Figure 8, as well as the main lines of code of this section can be seen below:</w:t>
      </w:r>
    </w:p>
    <w:p>
      <w:pPr>
        <w:pStyle w:val="SourceCode"/>
        <w:rPr/>
      </w:pPr>
      <w:r>
        <w:rPr>
          <w:rStyle w:val="CommentTok"/>
        </w:rPr>
        <w:t># Running clustering</w:t>
      </w:r>
      <w:r>
        <w:rPr/>
        <w:br/>
      </w:r>
      <w:r>
        <w:rPr>
          <w:rStyle w:val="NormalTok"/>
        </w:rPr>
        <w:t>kmeans_clustring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br/>
      </w:r>
      <w:r>
        <w:rPr>
          <w:rStyle w:val="NormalTok"/>
        </w:rPr>
        <w:t xml:space="preserve">                           </w:t>
      </w:r>
      <w:r>
        <w:rPr>
          <w:rStyle w:val="DataTypeTok"/>
        </w:rPr>
        <w:t>centers =</w:t>
      </w:r>
      <w:r>
        <w:rPr>
          <w:rStyle w:val="NormalTok"/>
        </w:rPr>
        <w:t xml:space="preserve"> </w:t>
      </w:r>
      <w:r>
        <w:rPr>
          <w:rStyle w:val="DecValTok"/>
        </w:rPr>
        <w:t>20</w:t>
      </w:r>
      <w:r>
        <w:rPr>
          <w:rStyle w:val="NormalTok"/>
        </w:rPr>
        <w:t xml:space="preserve">, </w:t>
      </w:r>
      <w:r>
        <w:rPr/>
        <w:br/>
      </w:r>
      <w:r>
        <w:rPr>
          <w:rStyle w:val="NormalTok"/>
        </w:rPr>
        <w:t xml:space="preserve">                           </w:t>
      </w:r>
      <w:r>
        <w:rPr>
          <w:rStyle w:val="DataTypeTok"/>
        </w:rPr>
        <w:t>iter.max =</w:t>
      </w:r>
      <w:r>
        <w:rPr>
          <w:rStyle w:val="NormalTok"/>
        </w:rPr>
        <w:t xml:space="preserve"> </w:t>
      </w:r>
      <w:r>
        <w:rPr>
          <w:rStyle w:val="DecValTok"/>
        </w:rPr>
        <w:t>500</w:t>
      </w:r>
      <w:r>
        <w:rPr>
          <w:rStyle w:val="NormalTok"/>
        </w:rPr>
        <w:t xml:space="preserve">,  </w:t>
      </w:r>
      <w:r>
        <w:rPr/>
        <w:br/>
      </w:r>
      <w:r>
        <w:rPr>
          <w:rStyle w:val="NormalTok"/>
        </w:rPr>
        <w:t xml:space="preserve">                           </w:t>
      </w:r>
      <w:r>
        <w:rPr>
          <w:rStyle w:val="DataTypeTok"/>
        </w:rPr>
        <w:t>nstart =</w:t>
      </w:r>
      <w:r>
        <w:rPr>
          <w:rStyle w:val="NormalTok"/>
        </w:rPr>
        <w:t xml:space="preserve"> </w:t>
      </w:r>
      <w:r>
        <w:rPr>
          <w:rStyle w:val="DecValTok"/>
        </w:rPr>
        <w:t>1</w:t>
      </w:r>
      <w:r>
        <w:rPr>
          <w:rStyle w:val="NormalTok"/>
        </w:rPr>
        <w:t>,</w:t>
      </w:r>
      <w:r>
        <w:rPr/>
        <w:br/>
      </w:r>
      <w:r>
        <w:rPr>
          <w:rStyle w:val="NormalTok"/>
        </w:rPr>
        <w:t xml:space="preserve">                           </w:t>
      </w:r>
      <w:r>
        <w:rPr>
          <w:rStyle w:val="DataTypeTok"/>
        </w:rPr>
        <w:t>algorithm =</w:t>
      </w:r>
      <w:r>
        <w:rPr>
          <w:rStyle w:val="NormalTok"/>
        </w:rPr>
        <w:t xml:space="preserve"> </w:t>
      </w:r>
      <w:r>
        <w:rPr>
          <w:rStyle w:val="StringTok"/>
        </w:rPr>
        <w:t>"MacQueen"</w:t>
      </w:r>
      <w:r>
        <w:rPr/>
        <w:br/>
      </w:r>
      <w:r>
        <w:rPr>
          <w:rStyle w:val="NormalTok"/>
        </w:rPr>
        <w:t xml:space="preserve">                           )</w:t>
      </w:r>
      <w:r>
        <w:rPr/>
        <w:br/>
      </w:r>
      <w:r>
        <w:rPr>
          <w:rStyle w:val="NormalTok"/>
        </w:rPr>
        <w:t xml:space="preserve">                           </w:t>
      </w:r>
      <w:r>
        <w:rPr/>
        <w:br/>
      </w:r>
      <w:r>
        <w:rPr>
          <w:rStyle w:val="CommentTok"/>
        </w:rPr>
        <w:t># Assigning spatial information</w:t>
      </w:r>
      <w:r>
        <w:rPr/>
        <w:br/>
      </w:r>
      <w:r>
        <w:rPr>
          <w:rStyle w:val="NormalTok"/>
        </w:rPr>
        <w:t>pca_data_ini</w:t>
      </w:r>
      <w:r>
        <w:rPr>
          <w:rStyle w:val="OperatorTok"/>
        </w:rPr>
        <w:t>$</w:t>
      </w:r>
      <w:r>
        <w:rPr>
          <w:rStyle w:val="NormalTok"/>
        </w:rPr>
        <w:t>clstr &lt;-</w:t>
      </w:r>
      <w:r>
        <w:rPr>
          <w:rStyle w:val="StringTok"/>
        </w:rPr>
        <w:t xml:space="preserve"> </w:t>
      </w:r>
      <w:r>
        <w:rPr>
          <w:rStyle w:val="NormalTok"/>
        </w:rPr>
        <w:t>kmeans_clustring</w:t>
      </w:r>
      <w:r>
        <w:rPr>
          <w:rStyle w:val="OperatorTok"/>
        </w:rPr>
        <w:t>$</w:t>
      </w:r>
      <w:r>
        <w:rPr>
          <w:rStyle w:val="NormalTok"/>
        </w:rPr>
        <w:t>cluster</w:t>
      </w:r>
      <w:r>
        <w:rPr/>
        <w:br/>
      </w:r>
      <w:r>
        <w:rPr>
          <w:rStyle w:val="NormalTok"/>
        </w:rPr>
        <w:t>pca_data_ini &lt;-</w:t>
      </w:r>
      <w:r>
        <w:rPr>
          <w:rStyle w:val="StringTok"/>
        </w:rPr>
        <w:t xml:space="preserve"> </w:t>
      </w:r>
      <w:r>
        <w:rPr>
          <w:rStyle w:val="NormalTok"/>
        </w:rPr>
        <w:t xml:space="preserve">pca_data_ini[, </w:t>
      </w:r>
      <w:r>
        <w:rPr>
          <w:rStyle w:val="KeywordTok"/>
        </w:rPr>
        <w:t>names</w:t>
      </w:r>
      <w:r>
        <w:rPr>
          <w:rStyle w:val="NormalTok"/>
        </w:rPr>
        <w:t xml:space="preserve">(pca_data_ini) </w:t>
      </w:r>
      <w:r>
        <w:rPr>
          <w:rStyle w:val="OperatorTok"/>
        </w:rPr>
        <w:t>%in%</w:t>
      </w:r>
      <w:r>
        <w:rPr>
          <w:rStyle w:val="StringTok"/>
        </w:rPr>
        <w:t xml:space="preserve"> </w:t>
      </w:r>
      <w:r>
        <w:rPr>
          <w:rStyle w:val="KeywordTok"/>
        </w:rPr>
        <w:t>c</w:t>
      </w:r>
      <w:r>
        <w:rPr>
          <w:rStyle w:val="NormalTok"/>
        </w:rPr>
        <w:t>(</w:t>
      </w:r>
      <w:r>
        <w:rPr>
          <w:rStyle w:val="StringTok"/>
        </w:rPr>
        <w:t>"clstr"</w:t>
      </w:r>
      <w:r>
        <w:rPr>
          <w:rStyle w:val="NormalTok"/>
        </w:rPr>
        <w:t xml:space="preserve">, </w:t>
      </w:r>
      <w:r>
        <w:rPr>
          <w:rStyle w:val="StringTok"/>
        </w:rPr>
        <w:t>"rn"</w:t>
      </w:r>
      <w:r>
        <w:rPr>
          <w:rStyle w:val="NormalTok"/>
        </w:rPr>
        <w:t>)]</w:t>
      </w:r>
      <w:r>
        <w:rPr/>
        <w:br/>
      </w:r>
      <w:r>
        <w:rPr>
          <w:rStyle w:val="NormalTok"/>
        </w:rPr>
        <w:t>all_data &lt;-</w:t>
      </w:r>
      <w:r>
        <w:rPr>
          <w:rStyle w:val="StringTok"/>
        </w:rPr>
        <w:t xml:space="preserve"> </w:t>
      </w:r>
      <w:r>
        <w:rPr>
          <w:rStyle w:val="KeywordTok"/>
        </w:rPr>
        <w:t>bind_rows</w:t>
      </w:r>
      <w:r>
        <w:rPr>
          <w:rStyle w:val="NormalTok"/>
        </w:rPr>
        <w:t>(pca_data_ini, pca_data_ini_NA)</w:t>
      </w:r>
      <w:r>
        <w:rPr/>
        <w:br/>
      </w:r>
      <w:r>
        <w:rPr>
          <w:rStyle w:val="NormalTok"/>
        </w:rPr>
        <w:t>all_data &lt;-</w:t>
      </w:r>
      <w:r>
        <w:rPr>
          <w:rStyle w:val="StringTok"/>
        </w:rPr>
        <w:t xml:space="preserve"> </w:t>
      </w:r>
      <w:r>
        <w:rPr>
          <w:rStyle w:val="NormalTok"/>
        </w:rPr>
        <w:t>all_data[</w:t>
      </w:r>
      <w:r>
        <w:rPr>
          <w:rStyle w:val="KeywordTok"/>
        </w:rPr>
        <w:t>order</w:t>
      </w:r>
      <w:r>
        <w:rPr>
          <w:rStyle w:val="NormalTok"/>
        </w:rPr>
        <w:t>(all_data</w:t>
      </w:r>
      <w:r>
        <w:rPr>
          <w:rStyle w:val="OperatorTok"/>
        </w:rPr>
        <w:t>$</w:t>
      </w:r>
      <w:r>
        <w:rPr>
          <w:rStyle w:val="NormalTok"/>
        </w:rPr>
        <w:t>rn), ]</w:t>
      </w:r>
      <w:r>
        <w:rPr/>
        <w:br/>
      </w:r>
      <w:r>
        <w:rPr>
          <w:rStyle w:val="NormalTok"/>
        </w:rPr>
        <w:t>pca_final_raster &lt;-</w:t>
      </w:r>
      <w:r>
        <w:rPr>
          <w:rStyle w:val="StringTok"/>
        </w:rPr>
        <w:t xml:space="preserve"> </w:t>
      </w:r>
      <w:r>
        <w:rPr>
          <w:rStyle w:val="KeywordTok"/>
        </w:rPr>
        <w:t>raster</w:t>
      </w:r>
      <w:r>
        <w:rPr>
          <w:rStyle w:val="NormalTok"/>
        </w:rPr>
        <w:t>(</w:t>
      </w:r>
      <w:r>
        <w:rPr>
          <w:rStyle w:val="KeywordTok"/>
        </w:rPr>
        <w:t>paste0</w:t>
      </w:r>
      <w:r>
        <w:rPr>
          <w:rStyle w:val="NormalTok"/>
        </w:rPr>
        <w:t xml:space="preserve">(path2tempResults, </w:t>
      </w:r>
      <w:r>
        <w:rPr>
          <w:rStyle w:val="StringTok"/>
        </w:rPr>
        <w:t>"/pca_final_raster.tif"</w:t>
      </w:r>
      <w:r>
        <w:rPr>
          <w:rStyle w:val="NormalTok"/>
        </w:rPr>
        <w:t>))</w:t>
      </w:r>
      <w:r>
        <w:rPr/>
        <w:br/>
      </w:r>
      <w:r>
        <w:rPr>
          <w:rStyle w:val="NormalTok"/>
        </w:rPr>
        <w:t>xtnt &lt;-</w:t>
      </w:r>
      <w:r>
        <w:rPr>
          <w:rStyle w:val="StringTok"/>
        </w:rPr>
        <w:t xml:space="preserve"> </w:t>
      </w:r>
      <w:r>
        <w:rPr>
          <w:rStyle w:val="KeywordTok"/>
        </w:rPr>
        <w:t>extent</w:t>
      </w:r>
      <w:r>
        <w:rPr>
          <w:rStyle w:val="NormalTok"/>
        </w:rPr>
        <w:t>(pca_final_raster)</w:t>
      </w:r>
      <w:r>
        <w:rPr/>
        <w:br/>
      </w:r>
      <w:r>
        <w:rPr>
          <w:rStyle w:val="NormalTok"/>
        </w:rPr>
        <w:t>pca_final_clstrs_raster &lt;-</w:t>
      </w:r>
      <w:r>
        <w:rPr>
          <w:rStyle w:val="StringTok"/>
        </w:rPr>
        <w:t xml:space="preserve"> </w:t>
      </w:r>
      <w:r>
        <w:rPr>
          <w:rStyle w:val="KeywordTok"/>
        </w:rPr>
        <w:t>raster</w:t>
      </w:r>
      <w:r>
        <w:rPr>
          <w:rStyle w:val="NormalTok"/>
        </w:rPr>
        <w:t>(</w:t>
      </w:r>
      <w:r>
        <w:rPr>
          <w:rStyle w:val="DataTypeTok"/>
        </w:rPr>
        <w:t>nrows =</w:t>
      </w:r>
      <w:r>
        <w:rPr>
          <w:rStyle w:val="NormalTok"/>
        </w:rPr>
        <w:t xml:space="preserve"> pca_final_raster</w:t>
      </w:r>
      <w:r>
        <w:rPr>
          <w:rStyle w:val="OperatorTok"/>
        </w:rPr>
        <w:t>@</w:t>
      </w:r>
      <w:r>
        <w:rPr>
          <w:rStyle w:val="NormalTok"/>
        </w:rPr>
        <w:t xml:space="preserve">nrows, </w:t>
      </w:r>
      <w:r>
        <w:rPr/>
        <w:br/>
      </w:r>
      <w:r>
        <w:rPr>
          <w:rStyle w:val="NormalTok"/>
        </w:rPr>
        <w:t xml:space="preserve">                                  </w:t>
      </w:r>
      <w:r>
        <w:rPr>
          <w:rStyle w:val="DataTypeTok"/>
        </w:rPr>
        <w:t>ncols =</w:t>
      </w:r>
      <w:r>
        <w:rPr>
          <w:rStyle w:val="NormalTok"/>
        </w:rPr>
        <w:t xml:space="preserve"> pca_final_raster</w:t>
      </w:r>
      <w:r>
        <w:rPr>
          <w:rStyle w:val="OperatorTok"/>
        </w:rPr>
        <w:t>@</w:t>
      </w:r>
      <w:r>
        <w:rPr>
          <w:rStyle w:val="NormalTok"/>
        </w:rPr>
        <w:t>ncols,</w:t>
      </w:r>
      <w:r>
        <w:rPr/>
        <w:br/>
      </w:r>
      <w:r>
        <w:rPr>
          <w:rStyle w:val="NormalTok"/>
        </w:rPr>
        <w:t xml:space="preserve">                                  </w:t>
      </w:r>
      <w:r>
        <w:rPr>
          <w:rStyle w:val="DataTypeTok"/>
        </w:rPr>
        <w:t>crs =</w:t>
      </w:r>
      <w:r>
        <w:rPr>
          <w:rStyle w:val="NormalTok"/>
        </w:rPr>
        <w:t xml:space="preserve"> </w:t>
      </w:r>
      <w:r>
        <w:rPr>
          <w:rStyle w:val="KeywordTok"/>
        </w:rPr>
        <w:t>crs</w:t>
      </w:r>
      <w:r>
        <w:rPr>
          <w:rStyle w:val="NormalTok"/>
        </w:rPr>
        <w:t xml:space="preserve">(pca_final_raster), </w:t>
      </w:r>
      <w:r>
        <w:rPr/>
        <w:br/>
      </w:r>
      <w:r>
        <w:rPr>
          <w:rStyle w:val="NormalTok"/>
        </w:rPr>
        <w:t xml:space="preserve">                                  </w:t>
      </w:r>
      <w:r>
        <w:rPr>
          <w:rStyle w:val="DataTypeTok"/>
        </w:rPr>
        <w:t>ext =</w:t>
      </w:r>
      <w:r>
        <w:rPr>
          <w:rStyle w:val="NormalTok"/>
        </w:rPr>
        <w:t xml:space="preserve"> xtnt, </w:t>
      </w:r>
      <w:r>
        <w:rPr/>
        <w:br/>
      </w:r>
      <w:r>
        <w:rPr>
          <w:rStyle w:val="NormalTok"/>
        </w:rPr>
        <w:t xml:space="preserve">                                  </w:t>
      </w:r>
      <w:r>
        <w:rPr>
          <w:rStyle w:val="DataTypeTok"/>
        </w:rPr>
        <w:t>vals =</w:t>
      </w:r>
      <w:r>
        <w:rPr>
          <w:rStyle w:val="NormalTok"/>
        </w:rPr>
        <w:t xml:space="preserve"> all_data</w:t>
      </w:r>
      <w:r>
        <w:rPr>
          <w:rStyle w:val="OperatorTok"/>
        </w:rPr>
        <w:t>$</w:t>
      </w:r>
      <w:r>
        <w:rPr>
          <w:rStyle w:val="NormalTok"/>
        </w:rPr>
        <w:t>clstr)</w:t>
      </w:r>
      <w:r>
        <w:rPr/>
        <w:br/>
      </w:r>
      <w:r>
        <w:rPr>
          <w:rStyle w:val="KeywordTok"/>
        </w:rPr>
        <w:t>names</w:t>
      </w:r>
      <w:r>
        <w:rPr>
          <w:rStyle w:val="NormalTok"/>
        </w:rPr>
        <w:t>(pca_final_clstrs_raster) &lt;-</w:t>
      </w:r>
      <w:r>
        <w:rPr>
          <w:rStyle w:val="StringTok"/>
        </w:rPr>
        <w:t xml:space="preserve"> "clusterNum"</w:t>
      </w:r>
    </w:p>
    <w:p>
      <w:pPr>
        <w:pStyle w:val="FirstParagraph"/>
        <w:rPr/>
      </w:pPr>
      <w:r>
        <w:rPr/>
        <w:t> </w:t>
      </w:r>
    </w:p>
    <w:p>
      <w:pPr>
        <w:pStyle w:val="Normal"/>
        <w:rPr/>
      </w:pPr>
      <w:r>
        <w:rPr/>
        <w:drawing>
          <wp:inline distT="0" distB="0" distL="114935" distR="114935">
            <wp:extent cx="5486400" cy="3918585"/>
            <wp:effectExtent l="0" t="0" r="0" b="0"/>
            <wp:docPr id="8" name="Imatge7" descr="Figure 8: Ecosystem Functional Types (EFTs) derived from phenological and productivity variables using the K-means cluster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Ecosystem Functional Types (EFTs) derived from phenological and productivity variables using the K-means clustering method"/>
                    <pic:cNvPicPr>
                      <a:picLocks noChangeAspect="1" noChangeArrowheads="1"/>
                    </pic:cNvPicPr>
                  </pic:nvPicPr>
                  <pic:blipFill>
                    <a:blip r:embed="rId12"/>
                    <a:stretch>
                      <a:fillRect/>
                    </a:stretch>
                  </pic:blipFill>
                  <pic:spPr bwMode="auto">
                    <a:xfrm>
                      <a:off x="0" y="0"/>
                      <a:ext cx="5486400" cy="3918585"/>
                    </a:xfrm>
                    <a:prstGeom prst="rect">
                      <a:avLst/>
                    </a:prstGeom>
                  </pic:spPr>
                </pic:pic>
              </a:graphicData>
            </a:graphic>
          </wp:inline>
        </w:drawing>
      </w:r>
    </w:p>
    <w:p>
      <w:pPr>
        <w:pStyle w:val="Normal"/>
        <w:rPr/>
      </w:pPr>
      <w:r>
        <w:rPr/>
        <w:t>Figure 8: Ecosystem Functional Types (EFTs) derived from phenological and productivity variables using the K-means clustering method</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Cyclic Fraction,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In the case study, the Cyclic Fraction was derived from </w:t>
      </w:r>
      <w:r>
        <w:rPr>
          <w:i/>
        </w:rPr>
        <w:t>Phenolo</w:t>
      </w:r>
      <w:r>
        <w:rPr/>
        <w:t xml:space="preserve"> 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rPr/>
      </w:pPr>
      <w:r>
        <w:rPr>
          <w:rStyle w:val="KeywordTok"/>
        </w:rPr>
        <w:t>beginCluster</w:t>
      </w:r>
      <w:r>
        <w:rPr>
          <w:rStyle w:val="NormalTok"/>
        </w:rPr>
        <w:t xml:space="preserve">(cors2use)   </w:t>
      </w:r>
      <w:r>
        <w:rPr>
          <w:rStyle w:val="CommentTok"/>
        </w:rPr>
        <w:t># it uses 'cors2use' cores for parallelizing</w:t>
      </w:r>
      <w:r>
        <w:rPr/>
        <w:br/>
      </w:r>
      <w:r>
        <w:rPr>
          <w:rStyle w:val="NormalTok"/>
        </w:rPr>
        <w:t>yrs &lt;-</w:t>
      </w:r>
      <w:r>
        <w:rPr>
          <w:rStyle w:val="StringTok"/>
        </w:rPr>
        <w:t xml:space="preserve"> </w:t>
      </w:r>
      <w:r>
        <w:rPr>
          <w:rStyle w:val="NormalTok"/>
        </w:rPr>
        <w:t>(</w:t>
      </w:r>
      <w:r>
        <w:rPr>
          <w:rStyle w:val="KeywordTok"/>
        </w:rPr>
        <w:t>nlayers</w:t>
      </w:r>
      <w:r>
        <w:rPr>
          <w:rStyle w:val="NormalTok"/>
        </w:rPr>
        <w:t xml:space="preserve">(CycleFraction_rstr) </w:t>
      </w:r>
      <w:r>
        <w:rPr>
          <w:rStyle w:val="OperatorTok"/>
        </w:rPr>
        <w:t>-</w:t>
      </w:r>
      <w:r>
        <w:rPr>
          <w:rStyle w:val="StringTok"/>
        </w:rPr>
        <w:t xml:space="preserve"> </w:t>
      </w:r>
      <w:r>
        <w:rPr>
          <w:rStyle w:val="DecValTok"/>
        </w:rPr>
        <w:t>4</w:t>
      </w:r>
      <w:r>
        <w:rPr>
          <w:rStyle w:val="NormalTok"/>
        </w:rPr>
        <w:t>)</w:t>
      </w:r>
      <w:r>
        <w:rPr>
          <w:rStyle w:val="OperatorTok"/>
        </w:rPr>
        <w:t>:</w:t>
      </w:r>
      <w:r>
        <w:rPr>
          <w:rStyle w:val="KeywordTok"/>
        </w:rPr>
        <w:t>nlayers</w:t>
      </w:r>
      <w:r>
        <w:rPr>
          <w:rStyle w:val="NormalTok"/>
        </w:rPr>
        <w:t>(CycleFraction_rstr)</w:t>
      </w:r>
      <w:r>
        <w:rPr/>
        <w:br/>
      </w:r>
      <w:r>
        <w:rPr>
          <w:rStyle w:val="NormalTok"/>
        </w:rPr>
        <w:t>CycleFraction_rstr_average &lt;-</w:t>
      </w:r>
      <w:r>
        <w:rPr>
          <w:rStyle w:val="StringTok"/>
        </w:rPr>
        <w:t xml:space="preserve"> </w:t>
      </w:r>
      <w:r>
        <w:rPr>
          <w:rStyle w:val="KeywordTok"/>
        </w:rPr>
        <w:t>clusterR</w:t>
      </w:r>
      <w:r>
        <w:rPr>
          <w:rStyle w:val="NormalTok"/>
        </w:rPr>
        <w:t xml:space="preserve">(CycleFraction_rstr,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p>
    <w:p>
      <w:pPr>
        <w:pStyle w:val="FirstParagraph"/>
        <w:rPr/>
      </w:pPr>
      <w:r>
        <w:rPr/>
        <w:t> </w:t>
      </w:r>
    </w:p>
    <w:p>
      <w:pPr>
        <w:pStyle w:val="Cosdeltext"/>
        <w:rPr/>
      </w:pPr>
      <w:r>
        <w:rPr/>
        <w:t>Then, the potential productivity within each EFT was calculated. However, instead of the maximum value, its 90-percentile was established as the final potential, given that values higher than this threshold were considered as outliers.</w:t>
      </w:r>
    </w:p>
    <w:p>
      <w:pPr>
        <w:pStyle w:val="Cosdeltext"/>
        <w:rPr/>
      </w:pPr>
      <w:r>
        <w:rPr/>
        <w:t>Finally, the Local Net Scaling per pixel was calculated as the proportion of its annual production (i.e. the average of 5 years Cyclic Fraction) over the potential production within its EFT (i.e. the 90-percentile). The result, shown in Figure 9, was expressed in percentage and was computed as follows:  </w:t>
      </w:r>
    </w:p>
    <w:p>
      <w:pPr>
        <w:pStyle w:val="SourceCode"/>
        <w:rPr/>
      </w:pPr>
      <w:r>
        <w:rPr>
          <w:rStyle w:val="NormalTok"/>
        </w:rPr>
        <w:t>CycleFraction_average_df</w:t>
      </w:r>
      <w:r>
        <w:rPr>
          <w:rStyle w:val="OperatorTok"/>
        </w:rPr>
        <w:t>$</w:t>
      </w:r>
      <w:r>
        <w:rPr>
          <w:rStyle w:val="NormalTok"/>
        </w:rPr>
        <w:t>LSP &lt;-</w:t>
      </w:r>
      <w:r>
        <w:rPr>
          <w:rStyle w:val="StringTok"/>
        </w:rPr>
        <w:t xml:space="preserve"> </w:t>
      </w:r>
      <w:r>
        <w:rPr>
          <w:rStyle w:val="KeywordTok"/>
        </w:rPr>
        <w:t>round</w:t>
      </w:r>
      <w:r>
        <w:rPr>
          <w:rStyle w:val="NormalTok"/>
        </w:rPr>
        <w:t>(((CycleFraction_average_df</w:t>
      </w:r>
      <w:r>
        <w:rPr>
          <w:rStyle w:val="OperatorTok"/>
        </w:rPr>
        <w:t>$</w:t>
      </w:r>
      <w:r>
        <w:rPr>
          <w:rStyle w:val="NormalTok"/>
        </w:rPr>
        <w:t xml:space="preserve">CyclicFraction </w:t>
      </w:r>
      <w:r>
        <w:rPr>
          <w:rStyle w:val="OperatorTok"/>
        </w:rPr>
        <w:t>/</w:t>
      </w:r>
      <w:r>
        <w:rPr>
          <w:rStyle w:val="StringTok"/>
        </w:rPr>
        <w:t xml:space="preserve"> </w:t>
      </w:r>
      <w:r>
        <w:rPr>
          <w:rStyle w:val="NormalTok"/>
        </w:rPr>
        <w:t>CycleFraction_average_df</w:t>
      </w:r>
      <w:r>
        <w:rPr>
          <w:rStyle w:val="OperatorTok"/>
        </w:rPr>
        <w:t>$</w:t>
      </w:r>
      <w:r>
        <w:rPr>
          <w:rStyle w:val="NormalTok"/>
        </w:rPr>
        <w:t xml:space="preserve">CyclicFraction_90perc) </w:t>
      </w:r>
      <w:r>
        <w:rPr>
          <w:rStyle w:val="OperatorTok"/>
        </w:rPr>
        <w:t>*</w:t>
      </w:r>
      <w:r>
        <w:rPr>
          <w:rStyle w:val="StringTok"/>
        </w:rPr>
        <w:t xml:space="preserve"> </w:t>
      </w:r>
      <w:r>
        <w:rPr>
          <w:rStyle w:val="DecValTok"/>
        </w:rPr>
        <w:t>100</w:t>
      </w:r>
      <w:r>
        <w:rPr>
          <w:rStyle w:val="NormalTok"/>
        </w:rPr>
        <w:t xml:space="preserve">), </w:t>
      </w:r>
      <w:r>
        <w:rPr>
          <w:rStyle w:val="DecValTok"/>
        </w:rPr>
        <w:t>1</w:t>
      </w:r>
      <w:r>
        <w:rPr>
          <w:rStyle w:val="NormalTok"/>
        </w:rPr>
        <w:t>)</w:t>
      </w:r>
    </w:p>
    <w:p>
      <w:pPr>
        <w:pStyle w:val="FirstParagraph"/>
        <w:rPr/>
      </w:pPr>
      <w:r>
        <w:rPr/>
        <w:t> </w:t>
      </w:r>
    </w:p>
    <w:p>
      <w:pPr>
        <w:pStyle w:val="Normal"/>
        <w:rPr/>
      </w:pPr>
      <w:r>
        <w:rPr/>
        <w:drawing>
          <wp:inline distT="0" distB="0" distL="114935" distR="114935">
            <wp:extent cx="5486400" cy="3291205"/>
            <wp:effectExtent l="0" t="0" r="0" b="0"/>
            <wp:docPr id="9" name="Imatge8" descr="Figure 9: Local Net Primary Production Scaling (LNS): proportion of annual production (i.e. average of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Local Net Primary Production Scaling (LNS): proportion of annual production (i.e. average of 5 years of Cyclic Fraction) over the local potential production (i.e. the 90-percentile within the Ecosystem Functional Type)"/>
                    <pic:cNvPicPr>
                      <a:picLocks noChangeAspect="1" noChangeArrowheads="1"/>
                    </pic:cNvPicPr>
                  </pic:nvPicPr>
                  <pic:blipFill>
                    <a:blip r:embed="rId13"/>
                    <a:stretch>
                      <a:fillRect/>
                    </a:stretch>
                  </pic:blipFill>
                  <pic:spPr bwMode="auto">
                    <a:xfrm>
                      <a:off x="0" y="0"/>
                      <a:ext cx="5486400" cy="3291205"/>
                    </a:xfrm>
                    <a:prstGeom prst="rect">
                      <a:avLst/>
                    </a:prstGeom>
                  </pic:spPr>
                </pic:pic>
              </a:graphicData>
            </a:graphic>
          </wp:inline>
        </w:drawing>
      </w:r>
    </w:p>
    <w:p>
      <w:pPr>
        <w:pStyle w:val="Normal"/>
        <w:rPr/>
      </w:pPr>
      <w:r>
        <w:rPr/>
        <w:t>Figure 9: Local Net Primary Production Scaling (LNS): proportion of annual production (i.e. average of 5 years of Cyclic Fraction) over the local potential production (i.e. the 90-percentile within the Ecosystem Functional Type)</w:t>
      </w:r>
    </w:p>
    <w:p>
      <w:pPr>
        <w:pStyle w:val="Cosdeltext"/>
        <w:rPr/>
      </w:pPr>
      <w:r>
        <w:rPr/>
        <w:t>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final map (Figure 10) is the result of the combined assessment of the Long Term Change Map (Figure 5), based on the Standing Biomass, and the Current Status Map of Land Productivity (Figure 9), based on the Cyclic Fraction and derived through the Local Net Scaling approach. See the flowchart of the process for the derivation of the indicator in Figure 1.</w:t>
      </w:r>
    </w:p>
    <w:p>
      <w:pPr>
        <w:pStyle w:val="Cosdeltext"/>
        <w:rPr/>
      </w:pPr>
      <w:r>
        <w:rPr/>
        <w:t>As seen above in this document, both branches to calculate the indicator are qualitative methods. Therefore, the final LPD indicator is also a qualitative measure with 6 possible values or categories after the reclassification of each pixel as shown in Table 3. Such categories are ‘d’, Declining Land-Productivity; ‘ew’, Early signs of decline of L-P; ‘nf’, Stable but stressed L-P; ‘pf’, Stable, not stressed L-P; ‘i’, Increaseing L-P; ‘si’, Strong increase of L-P.</w:t>
      </w:r>
    </w:p>
    <w:p>
      <w:pPr>
        <w:pStyle w:val="Cosdeltext"/>
        <w:rPr/>
      </w:pPr>
      <w:r>
        <w:rPr/>
        <w:t>Table 3: Lookup table for the combination of the two branches assessment (i.e. Long Term Change Map of standing biomass and Current Status Map of Land Productivity of cyclic fraction) to derive the Land Productivity Dynamics categories (i.e. ‘d’, Declining Land-Productivity; ‘ew’, Early signs of decline of L-P; ‘nf’, Stable but stressed L-P; ‘pf’, Stable, not stressed L-P; ‘i’, Increaseing L-P; ‘si’, Strong increase of L-P)</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tcBorders/>
            <w:shd w:fill="auto" w:val="clear"/>
          </w:tcPr>
          <w:p>
            <w:pPr>
              <w:pStyle w:val="Compact"/>
              <w:spacing w:before="36" w:after="36"/>
              <w:jc w:val="center"/>
              <w:rPr/>
            </w:pPr>
            <w:r>
              <w:rPr/>
              <w:t>Steadiness I.</w:t>
            </w:r>
          </w:p>
        </w:tc>
        <w:tc>
          <w:tcPr>
            <w:tcW w:w="1668" w:type="dxa"/>
            <w:tcBorders/>
            <w:shd w:fill="auto" w:val="clear"/>
          </w:tcPr>
          <w:p>
            <w:pPr>
              <w:pStyle w:val="Compact"/>
              <w:spacing w:before="36" w:after="36"/>
              <w:jc w:val="center"/>
              <w:rPr/>
            </w:pPr>
            <w:r>
              <w:rPr/>
              <w:t>Baseline L.</w:t>
            </w:r>
          </w:p>
        </w:tc>
        <w:tc>
          <w:tcPr>
            <w:tcW w:w="1787" w:type="dxa"/>
            <w:tcBorders/>
            <w:shd w:fill="auto" w:val="clear"/>
          </w:tcPr>
          <w:p>
            <w:pPr>
              <w:pStyle w:val="Compact"/>
              <w:spacing w:before="36" w:after="36"/>
              <w:jc w:val="center"/>
              <w:rPr/>
            </w:pPr>
            <w:r>
              <w:rPr/>
              <w:t>State Change</w:t>
            </w:r>
          </w:p>
        </w:tc>
        <w:tc>
          <w:tcPr>
            <w:tcW w:w="1072" w:type="dxa"/>
            <w:tcBorders/>
            <w:shd w:fill="auto" w:val="clear"/>
          </w:tcPr>
          <w:p>
            <w:pPr>
              <w:pStyle w:val="Normal"/>
              <w:widowControl/>
              <w:bidi w:val="0"/>
              <w:spacing w:lineRule="auto" w:line="480" w:before="0" w:after="240"/>
              <w:jc w:val="left"/>
              <w:rPr/>
            </w:pPr>
            <w:r>
              <w:rPr/>
            </w:r>
          </w:p>
        </w:tc>
        <w:tc>
          <w:tcPr>
            <w:tcW w:w="1430" w:type="dxa"/>
            <w:tcBorders/>
            <w:shd w:fill="auto" w:val="clear"/>
          </w:tcPr>
          <w:p>
            <w:pPr>
              <w:pStyle w:val="Compact"/>
              <w:spacing w:before="36" w:after="36"/>
              <w:jc w:val="center"/>
              <w:rPr/>
            </w:pPr>
            <w:r>
              <w:rPr/>
              <w:t>Local Sc.</w:t>
            </w:r>
          </w:p>
        </w:tc>
      </w:tr>
      <w:tr>
        <w:trPr/>
        <w:tc>
          <w:tcPr>
            <w:tcW w:w="1905" w:type="dxa"/>
            <w:tcBorders/>
            <w:shd w:fill="auto" w:val="clear"/>
          </w:tcPr>
          <w:p>
            <w:pPr>
              <w:pStyle w:val="Normal"/>
              <w:widowControl/>
              <w:bidi w:val="0"/>
              <w:spacing w:lineRule="auto" w:line="480" w:before="0" w:after="240"/>
              <w:jc w:val="left"/>
              <w:rPr/>
            </w:pPr>
            <w:r>
              <w:rPr/>
            </w:r>
          </w:p>
        </w:tc>
        <w:tc>
          <w:tcPr>
            <w:tcW w:w="1668" w:type="dxa"/>
            <w:tcBorders/>
            <w:shd w:fill="auto" w:val="clear"/>
          </w:tcPr>
          <w:p>
            <w:pPr>
              <w:pStyle w:val="Normal"/>
              <w:widowControl/>
              <w:bidi w:val="0"/>
              <w:spacing w:lineRule="auto" w:line="480" w:before="0" w:after="240"/>
              <w:jc w:val="left"/>
              <w:rPr/>
            </w:pPr>
            <w:r>
              <w:rPr/>
            </w:r>
          </w:p>
        </w:tc>
        <w:tc>
          <w:tcPr>
            <w:tcW w:w="1787" w:type="dxa"/>
            <w:tcBorders/>
            <w:shd w:fill="auto" w:val="clear"/>
          </w:tcPr>
          <w:p>
            <w:pPr>
              <w:pStyle w:val="Normal"/>
              <w:widowControl/>
              <w:bidi w:val="0"/>
              <w:spacing w:lineRule="auto" w:line="480" w:before="0" w:after="240"/>
              <w:jc w:val="left"/>
              <w:rPr/>
            </w:pPr>
            <w:r>
              <w:rPr/>
            </w:r>
          </w:p>
        </w:tc>
        <w:tc>
          <w:tcPr>
            <w:tcW w:w="1072" w:type="dxa"/>
            <w:tcBorders/>
            <w:shd w:fill="auto" w:val="clear"/>
          </w:tcPr>
          <w:p>
            <w:pPr>
              <w:pStyle w:val="Compact"/>
              <w:spacing w:before="36" w:after="36"/>
              <w:jc w:val="left"/>
              <w:rPr/>
            </w:pPr>
            <w:r>
              <w:rPr/>
              <w:t>&lt; 50%</w:t>
            </w:r>
          </w:p>
        </w:tc>
        <w:tc>
          <w:tcPr>
            <w:tcW w:w="1430" w:type="dxa"/>
            <w:tcBorders/>
            <w:shd w:fill="auto" w:val="clear"/>
          </w:tcPr>
          <w:p>
            <w:pPr>
              <w:pStyle w:val="Compact"/>
              <w:spacing w:before="36" w:after="36"/>
              <w:jc w:val="center"/>
              <w:rPr/>
            </w:pPr>
            <w:r>
              <w:rPr/>
              <w:t>&gt;= 50%</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ew</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bl>
    <w:p>
      <w:pPr>
        <w:pStyle w:val="Cosdeltext"/>
        <w:rPr/>
      </w:pPr>
      <w:r>
        <w:rPr/>
        <w:t> </w:t>
      </w:r>
    </w:p>
    <w:p>
      <w:pPr>
        <w:pStyle w:val="Normal"/>
        <w:rPr/>
      </w:pPr>
      <w:r>
        <w:rPr/>
        <w:drawing>
          <wp:inline distT="0" distB="0" distL="114935" distR="114935">
            <wp:extent cx="5486400" cy="3840480"/>
            <wp:effectExtent l="0" t="0" r="0" b="0"/>
            <wp:docPr id="10" name="Imatge9"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pic:cNvPicPr>
                      <a:picLocks noChangeAspect="1" noChangeArrowheads="1"/>
                    </pic:cNvPicPr>
                  </pic:nvPicPr>
                  <pic:blipFill>
                    <a:blip r:embed="rId14"/>
                    <a:stretch>
                      <a:fillRect/>
                    </a:stretch>
                  </pic:blipFill>
                  <pic:spPr bwMode="auto">
                    <a:xfrm>
                      <a:off x="0" y="0"/>
                      <a:ext cx="5486400" cy="3840480"/>
                    </a:xfrm>
                    <a:prstGeom prst="rect">
                      <a:avLst/>
                    </a:prstGeom>
                  </pic:spPr>
                </pic:pic>
              </a:graphicData>
            </a:graphic>
          </wp:inline>
        </w:drawing>
      </w:r>
    </w:p>
    <w:p>
      <w:pPr>
        <w:pStyle w:val="Normal"/>
        <w:rPr/>
      </w:pPr>
      <w:r>
        <w:rPr/>
        <w:t xml:space="preserve">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w:t>
      </w:r>
      <w:r>
        <w:rPr>
          <w:i/>
        </w:rPr>
        <w:t>Phenolo</w:t>
      </w:r>
      <w:r>
        <w:rPr/>
        <w:t>. ‘d’, Declining Land-Productivity; ‘ew’, Early signs of decline of L-P; ‘nf’, Stable but stressed L-P; ‘pf’, Stable, not stressed L-P; ‘i’, Increaseing L-P; ‘si’, Strong increase of L-P</w:t>
      </w:r>
    </w:p>
    <w:p>
      <w:pPr>
        <w:pStyle w:val="Encapalament1"/>
        <w:numPr>
          <w:ilvl w:val="0"/>
          <w:numId w:val="2"/>
        </w:numPr>
        <w:rPr/>
      </w:pPr>
      <w:bookmarkStart w:id="12" w:name="conclusions"/>
      <w:r>
        <w:rPr/>
        <w:t>Conclusions</w:t>
      </w:r>
      <w:bookmarkEnd w:id="12"/>
    </w:p>
    <w:p>
      <w:pPr>
        <w:pStyle w:val="FirstParagraph"/>
        <w:rPr/>
      </w:pPr>
      <w:r>
        <w:rPr/>
        <w:t>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 (IPBES 2018).</w:t>
      </w:r>
    </w:p>
    <w:p>
      <w:pPr>
        <w:pStyle w:val="Cosdeltext"/>
        <w:rPr/>
      </w:pPr>
      <w:r>
        <w:rPr/>
        <w:t>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numPr>
          <w:ilvl w:val="0"/>
          <w:numId w:val="2"/>
        </w:numPr>
        <w:rPr/>
      </w:pPr>
      <w:bookmarkStart w:id="13" w:name="references"/>
      <w:r>
        <w:rPr/>
        <w:t>References</w:t>
      </w:r>
      <w:bookmarkEnd w:id="13"/>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4" w:name="ref-WAD_2018"/>
      <w:bookmarkEnd w:id="14"/>
    </w:p>
    <w:p>
      <w:pPr>
        <w:pStyle w:val="Bibliography"/>
        <w:rPr/>
      </w:pPr>
      <w:r>
        <w:rPr/>
        <w:t xml:space="preserve">Dubovyk, Olena. 2017. “The Role of Remote Sensing in Land Degradation Assessments: Opportunities and Challenges.” </w:t>
      </w:r>
      <w:r>
        <w:rPr>
          <w:i/>
        </w:rPr>
        <w:t>European Journal of Remote Sensing</w:t>
      </w:r>
      <w:r>
        <w:rPr/>
        <w:t xml:space="preserve"> 50 (1): 601–13. </w:t>
      </w:r>
      <w:hyperlink r:id="rId15">
        <w:r>
          <w:rPr>
            <w:rStyle w:val="ListLabel26"/>
          </w:rPr>
          <w:t>https://doi.org/10.1080/22797254.2017.1378926</w:t>
        </w:r>
      </w:hyperlink>
      <w:r>
        <w:rPr/>
        <w:t>.</w:t>
      </w:r>
      <w:bookmarkStart w:id="15" w:name="ref-dubovyk_2017"/>
      <w:bookmarkEnd w:id="15"/>
    </w:p>
    <w:p>
      <w:pPr>
        <w:pStyle w:val="Bibliography"/>
        <w:rPr/>
      </w:pPr>
      <w:r>
        <w:rPr/>
        <w:t>FAO. 2019. “Trees, Forests and Land Use in Drylands: The First Global Assessment.” FAO Forestry Paper 184. Rome: FAO.</w:t>
      </w:r>
      <w:bookmarkStart w:id="16" w:name="ref-FAO_2019"/>
      <w:bookmarkEnd w:id="16"/>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7" w:name="ref-Fensholt_2013"/>
      <w:bookmarkEnd w:id="17"/>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16">
        <w:r>
          <w:rPr>
            <w:rStyle w:val="ListLabel26"/>
          </w:rPr>
          <w:t>https://doi.org/10.1080/01431160701395229</w:t>
        </w:r>
      </w:hyperlink>
      <w:r>
        <w:rPr/>
        <w:t>.</w:t>
      </w:r>
      <w:bookmarkStart w:id="18" w:name="ref-Guo_2008"/>
      <w:bookmarkEnd w:id="18"/>
    </w:p>
    <w:p>
      <w:pPr>
        <w:pStyle w:val="Bibliography"/>
        <w:rPr/>
      </w:pPr>
      <w:r>
        <w:rPr/>
        <w:t>IPBES. 2018. “The Ipbes Assessment Report on Land Degradation and Restoration. Montanarella, L., Scholes, R., and Brainich, a. (Eds.).” Bonn, Germany: Secretariat of the Intergovernmental Science-Policy Platform on Biodiversity; Ecosystem Services.</w:t>
      </w:r>
      <w:bookmarkStart w:id="19" w:name="ref-IPBES_2018"/>
      <w:bookmarkEnd w:id="19"/>
    </w:p>
    <w:p>
      <w:pPr>
        <w:pStyle w:val="Bibliography"/>
        <w:rPr/>
      </w:pPr>
      <w:r>
        <w:rPr/>
        <w:t>Ivits, E., and M. Cherlet. 2013. “Land-Productivity Dynamics Towards Integrated Assessment of Land Degradation at Global Scales.” Technical Report EUR 26052. Joint Research Centre of the European Commission.</w:t>
      </w:r>
      <w:bookmarkStart w:id="20" w:name="ref-Ivits_report_2013"/>
      <w:bookmarkEnd w:id="20"/>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17">
        <w:r>
          <w:rPr>
            <w:rStyle w:val="ListLabel26"/>
          </w:rPr>
          <w:t>https://doi.org/10.1016/j.ecolind.2012.11.010</w:t>
        </w:r>
      </w:hyperlink>
      <w:r>
        <w:rPr/>
        <w:t>.</w:t>
      </w:r>
      <w:bookmarkStart w:id="21" w:name="ref-ivits_ecosystem_2013"/>
      <w:bookmarkEnd w:id="21"/>
    </w:p>
    <w:p>
      <w:pPr>
        <w:pStyle w:val="Bibliography"/>
        <w:rPr/>
      </w:pPr>
      <w:r>
        <w:rPr/>
        <w:t>Middleton, N., L. Stringer, A. Goudie, and D. Thomas. 2011. “The Forgotten Billion. MDG Achievement in the Drylands.” New York, NY, 10017, USA: United Nations Development Programme.</w:t>
      </w:r>
      <w:bookmarkStart w:id="22" w:name="ref-UNDP_drylands_2011"/>
      <w:bookmarkEnd w:id="22"/>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3" w:name="ref-Prince_2009"/>
      <w:bookmarkEnd w:id="23"/>
    </w:p>
    <w:p>
      <w:pPr>
        <w:pStyle w:val="Bibliography"/>
        <w:rPr/>
      </w:pPr>
      <w:r>
        <w:rPr/>
        <w:t>UN. 2015. “Transforming Our World: The 2030 Agenda for Sustainable Development.” A/RES/70/1. United Nations.</w:t>
      </w:r>
      <w:bookmarkStart w:id="24" w:name="ref-UN_SDGs_2015"/>
      <w:bookmarkEnd w:id="24"/>
    </w:p>
    <w:p>
      <w:pPr>
        <w:pStyle w:val="Bibliography"/>
        <w:rPr/>
      </w:pPr>
      <w:r>
        <w:rPr/>
        <w:t>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bookmarkStart w:id="25" w:name="ref-LDN_2015"/>
      <w:bookmarkEnd w:id="25"/>
    </w:p>
    <w:p>
      <w:pPr>
        <w:pStyle w:val="Bibliography"/>
        <w:rPr/>
      </w:pPr>
      <w:r>
        <w:rPr/>
        <w:t>———</w:t>
      </w:r>
      <w:r>
        <w:rPr/>
        <w:t xml:space="preserve">. 2018. “Good Practice Guidance. SDG Indicator 15.3.1, Proportion of Land That Is Degraded over Total Land Area.” UNCCD. </w:t>
      </w:r>
      <w:hyperlink r:id="rId18">
        <w:r>
          <w:rPr>
            <w:rStyle w:val="ListLabel26"/>
          </w:rPr>
          <w:t>https://knowledge.unccd.int/topics/sustainable-development-goals-sdgs/sdg-indicator-1531</w:t>
        </w:r>
      </w:hyperlink>
      <w:r>
        <w:rPr/>
        <w:t>.</w:t>
      </w:r>
      <w:bookmarkStart w:id="26" w:name="ref-sdg_15_3_1_2018"/>
      <w:bookmarkEnd w:id="26"/>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1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45">
              <wp:simplePos x="0" y="0"/>
              <wp:positionH relativeFrom="margin">
                <wp:align>right</wp:align>
              </wp:positionH>
              <wp:positionV relativeFrom="paragraph">
                <wp:posOffset>635</wp:posOffset>
              </wp:positionV>
              <wp:extent cx="163195" cy="174625"/>
              <wp:effectExtent l="0" t="0" r="0" b="0"/>
              <wp:wrapSquare wrapText="largest"/>
              <wp:docPr id="11" name="Marc1"/>
              <a:graphic xmlns:a="http://schemas.openxmlformats.org/drawingml/2006/main">
                <a:graphicData uri="http://schemas.microsoft.com/office/word/2010/wordprocessingShape">
                  <wps:wsp>
                    <wps:cNvSpPr/>
                    <wps:spPr>
                      <a:xfrm>
                        <a:off x="0" y="0"/>
                        <a:ext cx="1627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15pt;margin-top:0.05pt;width:12.75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rotllan.puig@gmail.com" TargetMode="External"/><Relationship Id="rId3" Type="http://schemas.openxmlformats.org/officeDocument/2006/relationships/image" Target="media/image1.png"/><Relationship Id="rId4" Type="http://schemas.openxmlformats.org/officeDocument/2006/relationships/hyperlink" Target="https://github.com/xavi-rp/LPDynR" TargetMode="External"/><Relationship Id="rId5" Type="http://schemas.openxmlformats.org/officeDocument/2006/relationships/image" Target="media/image2.jpeg"/><Relationship Id="rId6" Type="http://schemas.openxmlformats.org/officeDocument/2006/relationships/hyperlink" Target="https://www.undp.org/"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doi.org/10.1080/22797254.2017.1378926" TargetMode="External"/><Relationship Id="rId16" Type="http://schemas.openxmlformats.org/officeDocument/2006/relationships/hyperlink" Target="https://doi.org/10.1080/01431160701395229" TargetMode="External"/><Relationship Id="rId17" Type="http://schemas.openxmlformats.org/officeDocument/2006/relationships/hyperlink" Target="https://doi.org/10.1016/j.ecolind.2012.11.010" TargetMode="External"/><Relationship Id="rId18" Type="http://schemas.openxmlformats.org/officeDocument/2006/relationships/hyperlink" Target="https://knowledge.unccd.int/topics/sustainable-development-goals-sdgs/sdg-indicator-1531" TargetMode="Externa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9</Pages>
  <Words>5987</Words>
  <Characters>32806</Characters>
  <CharactersWithSpaces>39473</CharactersWithSpaces>
  <Paragraphs>324</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2020-11-04T16:40:35Z</dcterms:created>
  <dc:creator>Xavier Rotllan-Puig1,2,✉, Eva Ivits3, Pier Lorenzo Marasco1, Federico Gianoli1, and Michael Cherlet1</dc:creator>
  <dc:description/>
  <dc:language>ca-ES</dc:language>
  <cp:lastModifiedBy/>
  <dcterms:modified xsi:type="dcterms:W3CDTF">2020-11-04T16:40:35Z</dcterms:modified>
  <cp:revision>0</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04/11/2020</vt:lpwstr>
  </property>
  <property fmtid="{D5CDD505-2E9C-101B-9397-08002B2CF9AE}" pid="6" name="output">
    <vt:lpwstr/>
  </property>
  <property fmtid="{D5CDD505-2E9C-101B-9397-08002B2CF9AE}" pid="7" name="subtitle">
    <vt:lpwstr/>
  </property>
</Properties>
</file>